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61" w:rsidRPr="001B7A2E" w:rsidRDefault="00D30861" w:rsidP="00D30861">
      <w:pPr>
        <w:tabs>
          <w:tab w:val="left" w:pos="2127"/>
        </w:tabs>
        <w:rPr>
          <w:rFonts w:ascii="Times New Roman Tj" w:hAnsi="Times New Roman Tj"/>
          <w:sz w:val="28"/>
          <w:szCs w:val="28"/>
          <w:lang w:val="tg-Cyrl-TJ"/>
        </w:rPr>
      </w:pPr>
    </w:p>
    <w:p w:rsidR="00D30861" w:rsidRPr="0035007D" w:rsidRDefault="00D30861" w:rsidP="00D30861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170815</wp:posOffset>
            </wp:positionV>
            <wp:extent cx="751205" cy="770890"/>
            <wp:effectExtent l="19050" t="0" r="0" b="0"/>
            <wp:wrapSquare wrapText="right"/>
            <wp:docPr id="2" name="Рисунок 2" descr="ger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861" w:rsidRPr="0035007D" w:rsidRDefault="00D30861" w:rsidP="00D30861">
      <w:pPr>
        <w:jc w:val="center"/>
        <w:rPr>
          <w:sz w:val="32"/>
          <w:szCs w:val="32"/>
          <w:lang w:val="tg-Cyrl-TJ"/>
        </w:rPr>
      </w:pPr>
    </w:p>
    <w:p w:rsidR="00D30861" w:rsidRPr="0035007D" w:rsidRDefault="00D30861" w:rsidP="00D30861">
      <w:pPr>
        <w:jc w:val="center"/>
        <w:rPr>
          <w:sz w:val="32"/>
          <w:szCs w:val="32"/>
          <w:lang w:val="tg-Cyrl-TJ"/>
        </w:rPr>
      </w:pPr>
    </w:p>
    <w:p w:rsidR="00D30861" w:rsidRPr="0035007D" w:rsidRDefault="00D30861" w:rsidP="00D30861">
      <w:pPr>
        <w:jc w:val="center"/>
        <w:rPr>
          <w:sz w:val="32"/>
          <w:szCs w:val="32"/>
          <w:lang w:val="tg-Cyrl-TJ"/>
        </w:rPr>
      </w:pPr>
    </w:p>
    <w:p w:rsidR="00D30861" w:rsidRPr="001B7A2E" w:rsidRDefault="00D30861" w:rsidP="00D30861">
      <w:pPr>
        <w:jc w:val="center"/>
        <w:rPr>
          <w:rFonts w:ascii="Times New Roman Tj" w:hAnsi="Times New Roman Tj" w:cs="Courier New"/>
          <w:b/>
          <w:sz w:val="32"/>
          <w:szCs w:val="32"/>
          <w:lang w:val="tg-Cyrl-TJ"/>
        </w:rPr>
      </w:pPr>
    </w:p>
    <w:p w:rsidR="00D30861" w:rsidRPr="0035007D" w:rsidRDefault="00D30861" w:rsidP="00D30861">
      <w:pPr>
        <w:jc w:val="center"/>
        <w:rPr>
          <w:rFonts w:ascii="Times New Roman Tj" w:hAnsi="Times New Roman Tj" w:cs="Courier New"/>
          <w:b/>
          <w:sz w:val="32"/>
          <w:szCs w:val="32"/>
          <w:lang w:val="ru-RU"/>
        </w:rPr>
      </w:pPr>
      <w:proofErr w:type="spellStart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Њукумати</w:t>
      </w:r>
      <w:proofErr w:type="spellEnd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 xml:space="preserve">  </w:t>
      </w:r>
      <w:proofErr w:type="spellStart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Љумњурии</w:t>
      </w:r>
      <w:proofErr w:type="spellEnd"/>
      <w:proofErr w:type="gramStart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 xml:space="preserve">  </w:t>
      </w:r>
      <w:proofErr w:type="spellStart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>Т</w:t>
      </w:r>
      <w:proofErr w:type="gramEnd"/>
      <w:r w:rsidRPr="0035007D">
        <w:rPr>
          <w:rFonts w:ascii="Times New Roman Tj" w:hAnsi="Times New Roman Tj" w:cs="Courier New"/>
          <w:b/>
          <w:sz w:val="32"/>
          <w:szCs w:val="32"/>
          <w:lang w:val="ru-RU"/>
        </w:rPr>
        <w:t>ољикистон</w:t>
      </w:r>
      <w:proofErr w:type="spellEnd"/>
    </w:p>
    <w:p w:rsidR="00D30861" w:rsidRPr="0035007D" w:rsidRDefault="00D30861" w:rsidP="00D30861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35007D">
        <w:rPr>
          <w:rFonts w:ascii="Times New Roman Tj" w:hAnsi="Times New Roman Tj"/>
          <w:b/>
          <w:sz w:val="32"/>
          <w:szCs w:val="32"/>
          <w:lang w:val="ru-RU"/>
        </w:rPr>
        <w:t>ЌАРОР</w:t>
      </w:r>
    </w:p>
    <w:p w:rsidR="00D30861" w:rsidRPr="0035007D" w:rsidRDefault="00D30861" w:rsidP="00D30861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35007D">
        <w:rPr>
          <w:rFonts w:ascii="Times New Roman Tj" w:hAnsi="Times New Roman Tj"/>
          <w:b/>
          <w:sz w:val="32"/>
          <w:szCs w:val="32"/>
          <w:lang w:val="ru-RU"/>
        </w:rPr>
        <w:t>Правительство Республики Таджикистан</w:t>
      </w:r>
    </w:p>
    <w:p w:rsidR="00D30861" w:rsidRPr="0035007D" w:rsidRDefault="00D30861" w:rsidP="00D30861">
      <w:pPr>
        <w:jc w:val="center"/>
        <w:rPr>
          <w:rFonts w:ascii="Times New Roman Tj" w:hAnsi="Times New Roman Tj"/>
          <w:b/>
          <w:sz w:val="32"/>
          <w:szCs w:val="32"/>
          <w:lang w:val="ru-RU"/>
        </w:rPr>
      </w:pPr>
      <w:r w:rsidRPr="0035007D">
        <w:rPr>
          <w:rFonts w:ascii="Times New Roman Tj" w:hAnsi="Times New Roman Tj"/>
          <w:b/>
          <w:sz w:val="32"/>
          <w:szCs w:val="32"/>
          <w:lang w:val="ru-RU"/>
        </w:rPr>
        <w:t>ПОСТОНОВЛЕНИЕ</w:t>
      </w:r>
    </w:p>
    <w:p w:rsidR="00D30861" w:rsidRPr="0035007D" w:rsidRDefault="00D30861" w:rsidP="00D30861">
      <w:pPr>
        <w:ind w:firstLine="360"/>
        <w:jc w:val="center"/>
        <w:rPr>
          <w:rFonts w:ascii="Times New Roman Tj" w:hAnsi="Times New Roman Tj" w:cs="Courier New"/>
          <w:sz w:val="20"/>
          <w:szCs w:val="20"/>
          <w:lang w:val="ru-RU"/>
        </w:rPr>
      </w:pPr>
    </w:p>
    <w:p w:rsidR="00D30861" w:rsidRPr="0035007D" w:rsidRDefault="00D30861" w:rsidP="00D30861">
      <w:pPr>
        <w:jc w:val="center"/>
        <w:rPr>
          <w:rFonts w:ascii="Times New Roman Tj" w:hAnsi="Times New Roman Tj"/>
          <w:noProof/>
          <w:sz w:val="32"/>
          <w:szCs w:val="32"/>
          <w:lang w:val="tg-Cyrl-TJ"/>
        </w:rPr>
      </w:pP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 xml:space="preserve">от </w:t>
      </w:r>
      <w:r w:rsidRPr="0035007D">
        <w:rPr>
          <w:rFonts w:ascii="Times New Roman Tj" w:hAnsi="Times New Roman Tj"/>
          <w:noProof/>
          <w:sz w:val="32"/>
          <w:szCs w:val="32"/>
          <w:lang w:val="ru-RU"/>
        </w:rPr>
        <w:t xml:space="preserve">21 ноября </w:t>
      </w:r>
      <w:r w:rsidRPr="0035007D">
        <w:rPr>
          <w:rFonts w:ascii="Times New Roman Tj" w:hAnsi="Times New Roman Tj"/>
          <w:noProof/>
          <w:sz w:val="32"/>
          <w:szCs w:val="32"/>
          <w:lang w:val="tg-Cyrl-TJ"/>
        </w:rPr>
        <w:t>2016 года №480                                   г. Душанбе</w:t>
      </w:r>
    </w:p>
    <w:p w:rsidR="00D30861" w:rsidRPr="0035007D" w:rsidRDefault="00D30861" w:rsidP="00D30861">
      <w:pPr>
        <w:ind w:firstLine="360"/>
        <w:jc w:val="center"/>
        <w:rPr>
          <w:rFonts w:ascii="Times New Roman Tj" w:hAnsi="Times New Roman Tj" w:cs="Courier New"/>
          <w:sz w:val="32"/>
          <w:szCs w:val="32"/>
          <w:lang w:val="ru-RU"/>
        </w:rPr>
      </w:pPr>
    </w:p>
    <w:p w:rsidR="00D30861" w:rsidRPr="0035007D" w:rsidRDefault="00D30861" w:rsidP="00D30861">
      <w:pPr>
        <w:tabs>
          <w:tab w:val="left" w:pos="2127"/>
        </w:tabs>
        <w:rPr>
          <w:rFonts w:ascii="Times New Roman Tj" w:hAnsi="Times New Roman Tj" w:cs="Courier New"/>
          <w:sz w:val="32"/>
          <w:szCs w:val="32"/>
          <w:lang w:val="ru-RU"/>
        </w:rPr>
      </w:pPr>
      <w:r w:rsidRPr="0035007D">
        <w:rPr>
          <w:rFonts w:ascii="Times New Roman Tj" w:hAnsi="Times New Roman Tj"/>
          <w:sz w:val="32"/>
          <w:szCs w:val="32"/>
          <w:lang w:val="ru-RU"/>
        </w:rPr>
        <w:t xml:space="preserve"> </w:t>
      </w:r>
      <w:r w:rsidRPr="0035007D">
        <w:rPr>
          <w:rFonts w:ascii="Times New Roman Tj" w:hAnsi="Times New Roman Tj"/>
          <w:b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ind w:firstLine="360"/>
        <w:jc w:val="center"/>
        <w:rPr>
          <w:rFonts w:ascii="Times New Roman Tj" w:hAnsi="Times New Roman Tj" w:cs="Courier New"/>
          <w:sz w:val="32"/>
          <w:szCs w:val="32"/>
          <w:lang w:val="ru-RU"/>
        </w:rPr>
      </w:pPr>
    </w:p>
    <w:p w:rsidR="00D30861" w:rsidRPr="0035007D" w:rsidRDefault="00D30861" w:rsidP="00D30861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О Порядке ведения Единого государственного</w:t>
      </w:r>
    </w:p>
    <w:p w:rsidR="00D30861" w:rsidRPr="0035007D" w:rsidRDefault="00D30861" w:rsidP="00D30861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реестра пенсионеров</w:t>
      </w:r>
    </w:p>
    <w:p w:rsidR="00D30861" w:rsidRPr="0035007D" w:rsidRDefault="00D30861" w:rsidP="00D30861">
      <w:pPr>
        <w:pStyle w:val="dname"/>
        <w:spacing w:before="0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</w:p>
    <w:p w:rsidR="00D30861" w:rsidRPr="0035007D" w:rsidRDefault="00D30861" w:rsidP="00D30861">
      <w:pPr>
        <w:pStyle w:val="dname"/>
        <w:spacing w:before="0"/>
        <w:ind w:firstLine="540"/>
        <w:jc w:val="both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>В соответствии с частью 3 статьи 45 Закона Республики Таджикистан «О страховых и государственных пенсиях» Правительство Республики Таджикистан постановляет:</w:t>
      </w:r>
    </w:p>
    <w:p w:rsidR="00D30861" w:rsidRPr="0035007D" w:rsidRDefault="00D30861" w:rsidP="00D30861">
      <w:pPr>
        <w:pStyle w:val="dname"/>
        <w:spacing w:before="0"/>
        <w:ind w:firstLine="540"/>
        <w:jc w:val="both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1. Утвердить Порядок ведения Единого государственного реестра пенсионеров (прилагается). </w:t>
      </w:r>
    </w:p>
    <w:p w:rsidR="00D30861" w:rsidRPr="0035007D" w:rsidRDefault="00D30861" w:rsidP="00D30861">
      <w:pPr>
        <w:pStyle w:val="dname"/>
        <w:spacing w:before="0"/>
        <w:ind w:firstLine="540"/>
        <w:jc w:val="both"/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2. Агентству социального страхования и пенсий при Правительстве Республики Таджикистан обеспечить реализацию данного Порядка. </w:t>
      </w:r>
    </w:p>
    <w:p w:rsidR="00D30861" w:rsidRPr="0035007D" w:rsidRDefault="00D30861" w:rsidP="00D30861">
      <w:pPr>
        <w:pStyle w:val="dname"/>
        <w:spacing w:before="0"/>
        <w:ind w:firstLine="540"/>
        <w:jc w:val="both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b w:val="0"/>
          <w:color w:val="auto"/>
          <w:sz w:val="32"/>
          <w:szCs w:val="32"/>
          <w:lang w:val="ru-RU"/>
        </w:rPr>
        <w:t xml:space="preserve">    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pStyle w:val="dname"/>
        <w:spacing w:before="0"/>
        <w:ind w:firstLine="540"/>
        <w:jc w:val="both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    Председатель</w:t>
      </w: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Правительства Республики</w:t>
      </w: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                  Таджикистан  </w:t>
      </w: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ind w:left="459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lastRenderedPageBreak/>
        <w:t>Утверждено</w:t>
      </w:r>
    </w:p>
    <w:p w:rsidR="00D30861" w:rsidRPr="0035007D" w:rsidRDefault="00D30861" w:rsidP="00D30861">
      <w:pPr>
        <w:ind w:left="459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>постановлением Правительства</w:t>
      </w:r>
    </w:p>
    <w:p w:rsidR="00D30861" w:rsidRPr="0035007D" w:rsidRDefault="00D30861" w:rsidP="00D30861">
      <w:pPr>
        <w:ind w:left="459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>Республики Таджикистан</w:t>
      </w:r>
    </w:p>
    <w:p w:rsidR="00D30861" w:rsidRPr="0035007D" w:rsidRDefault="00D30861" w:rsidP="00D30861">
      <w:pPr>
        <w:ind w:left="4590"/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от </w:t>
      </w:r>
      <w:r w:rsidRPr="0035007D">
        <w:rPr>
          <w:rFonts w:ascii="Times New Roman Tj" w:hAnsi="Times New Roman Tj"/>
          <w:sz w:val="32"/>
          <w:szCs w:val="32"/>
          <w:lang w:val="ru-RU"/>
        </w:rPr>
        <w:t>«</w:t>
      </w:r>
      <w:r w:rsidRPr="0035007D">
        <w:rPr>
          <w:rFonts w:ascii="Times New Roman Tj" w:hAnsi="Times New Roman Tj"/>
          <w:sz w:val="32"/>
          <w:szCs w:val="32"/>
          <w:lang w:val="tg-Cyrl-TJ"/>
        </w:rPr>
        <w:t>21</w:t>
      </w:r>
      <w:r w:rsidRPr="0035007D">
        <w:rPr>
          <w:rFonts w:ascii="Times New Roman Tj" w:hAnsi="Times New Roman Tj"/>
          <w:sz w:val="32"/>
          <w:szCs w:val="32"/>
          <w:lang w:val="ru-RU"/>
        </w:rPr>
        <w:t xml:space="preserve">» ноября </w:t>
      </w:r>
      <w:r w:rsidRPr="0035007D">
        <w:rPr>
          <w:rFonts w:ascii="Times New Roman Tj" w:hAnsi="Times New Roman Tj"/>
          <w:sz w:val="32"/>
          <w:szCs w:val="32"/>
          <w:lang w:val="tg-Cyrl-TJ"/>
        </w:rPr>
        <w:t>2016 г. №480</w:t>
      </w:r>
    </w:p>
    <w:p w:rsidR="00D30861" w:rsidRPr="0035007D" w:rsidRDefault="00D30861" w:rsidP="00D30861">
      <w:pPr>
        <w:ind w:left="4860"/>
        <w:jc w:val="center"/>
        <w:rPr>
          <w:rFonts w:ascii="Times New Roman Tj" w:hAnsi="Times New Roman Tj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jc w:val="center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Порядок</w:t>
      </w:r>
    </w:p>
    <w:p w:rsidR="00D30861" w:rsidRPr="0035007D" w:rsidRDefault="00D30861" w:rsidP="00D30861">
      <w:pPr>
        <w:jc w:val="center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ведения Единого государственного Реестра пенсионеров </w:t>
      </w:r>
    </w:p>
    <w:p w:rsidR="00D30861" w:rsidRPr="0035007D" w:rsidRDefault="00D30861" w:rsidP="00D30861">
      <w:pPr>
        <w:jc w:val="center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ab/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ab/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ab/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ab/>
      </w:r>
    </w:p>
    <w:p w:rsidR="00D30861" w:rsidRPr="0035007D" w:rsidRDefault="00D30861" w:rsidP="00D30861">
      <w:pPr>
        <w:jc w:val="center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ru-RU"/>
        </w:rPr>
        <w:t xml:space="preserve">1.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Общие положения</w:t>
      </w:r>
    </w:p>
    <w:p w:rsidR="00D30861" w:rsidRPr="0035007D" w:rsidRDefault="00D30861" w:rsidP="00D30861">
      <w:pPr>
        <w:rPr>
          <w:rFonts w:ascii="Times New Roman Tj" w:hAnsi="Times New Roman Tj" w:cs="Courier New"/>
          <w:sz w:val="32"/>
          <w:szCs w:val="32"/>
          <w:lang w:val="tg-Cyrl-TJ"/>
        </w:rPr>
      </w:pP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1.Порядок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ведение Единого государственного Реестра пенсионеров определяет образование и ведение Единого государственного реестра пенсионеров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(далее - Реестр) и включает в себя совокупнность сведений о гражданах, которым назначена пенсия в соответствии с Законом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Республики Таджикистан «О страховых и государственных пенсиях» и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Законом Республики Республики Таджикистан </w:t>
      </w:r>
      <w:r w:rsidRPr="0035007D">
        <w:rPr>
          <w:rFonts w:ascii="Times New Roman Tj" w:hAnsi="Times New Roman Tj" w:cs="Courier New"/>
          <w:sz w:val="32"/>
          <w:szCs w:val="32"/>
          <w:lang w:val="ru-RU"/>
        </w:rPr>
        <w:t>«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О пенсионном обеспечении граждан Республики Таджикистан</w:t>
      </w:r>
      <w:r w:rsidRPr="0035007D">
        <w:rPr>
          <w:rFonts w:ascii="Times New Roman Tj" w:hAnsi="Times New Roman Tj" w:cs="Courier New"/>
          <w:sz w:val="32"/>
          <w:szCs w:val="32"/>
          <w:lang w:val="ru-RU"/>
        </w:rPr>
        <w:t>»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.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2. Реестр составляется и ведется Агентством социального страхования и пенсий при Правительстве Республики Таджикистан (далее 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-у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полномоченный государственный орган в сфере пенсионного обеспечения) в бумажном и электронном виде.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3. Реестр пенсионеров</w:t>
      </w:r>
      <w:r w:rsidRPr="0035007D">
        <w:rPr>
          <w:rFonts w:ascii="Times New Roman Tj" w:hAnsi="Times New Roman Tj" w:cs="Courier New"/>
          <w:sz w:val="32"/>
          <w:szCs w:val="32"/>
          <w:lang w:val="ru-RU"/>
        </w:rPr>
        <w:t xml:space="preserve">,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которым назначена пенсия в соответствии с Законом Республики Таджикистан                                  «О пенсионном обеспечении военнослужащих» составляется и ведется самими органами правопорядка и силовыми структурами назначившими пенсию.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4. При несоответствии сведений бумажной и электронной версий, Реестра, приоритет отдаётся сведениям бумажной версии Реестра.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5. Сведения, помещенные в Реестр, 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применяются исключительно для служебного пользования уполномоченного государственного органа в сфере пенсионного обеспечения и в необходимых случаях он может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дать разрешение на их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 xml:space="preserve">использование другому соответствующему государственному органу.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pStyle w:val="a3"/>
        <w:spacing w:before="0"/>
        <w:ind w:firstLine="540"/>
        <w:jc w:val="center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2. 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Сведения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вносимые в Реестр</w:t>
      </w:r>
    </w:p>
    <w:p w:rsidR="00D30861" w:rsidRPr="0035007D" w:rsidRDefault="00D30861" w:rsidP="00D30861">
      <w:pPr>
        <w:pStyle w:val="a3"/>
        <w:spacing w:before="0"/>
        <w:jc w:val="center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6. В Реестр вносятся следующие сведения о гражданах, которым назначена пенсия в соответствии с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Законом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Республики Таджикистан «О страховых и государственных пенсиях» и 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Законом Республики  </w:t>
      </w:r>
      <w:proofErr w:type="gramStart"/>
      <w:r w:rsidRPr="0035007D">
        <w:rPr>
          <w:rFonts w:ascii="Times New Roman Tj" w:hAnsi="Times New Roman Tj" w:cs="Courier New"/>
          <w:sz w:val="32"/>
          <w:szCs w:val="32"/>
          <w:lang w:val="tg-Cyrl-TJ"/>
        </w:rPr>
        <w:t>Республики</w:t>
      </w:r>
      <w:proofErr w:type="gramEnd"/>
      <w:r w:rsidRPr="0035007D">
        <w:rPr>
          <w:rFonts w:ascii="Times New Roman Tj" w:hAnsi="Times New Roman Tj" w:cs="Courier New"/>
          <w:sz w:val="32"/>
          <w:szCs w:val="32"/>
          <w:lang w:val="tg-Cyrl-TJ"/>
        </w:rPr>
        <w:t xml:space="preserve"> Таджикистан </w:t>
      </w:r>
      <w:r w:rsidRPr="0035007D">
        <w:rPr>
          <w:rFonts w:ascii="Times New Roman Tj" w:hAnsi="Times New Roman Tj" w:cs="Courier New"/>
          <w:sz w:val="32"/>
          <w:szCs w:val="32"/>
          <w:lang w:val="ru-RU"/>
        </w:rPr>
        <w:t>«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О пенсионном обеспечении граждан Республики Таджикистан</w:t>
      </w:r>
      <w:r w:rsidRPr="0035007D">
        <w:rPr>
          <w:rFonts w:ascii="Times New Roman Tj" w:hAnsi="Times New Roman Tj" w:cs="Courier New"/>
          <w:sz w:val="32"/>
          <w:szCs w:val="32"/>
          <w:lang w:val="ru-RU"/>
        </w:rPr>
        <w:t>»</w:t>
      </w: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: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фамилия, имя, отчество;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число, месяц и год рождения;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место проживания (по документам и фактическое);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- серия, номер, дата выдачи паспорта и наименование выдавшего его органа; 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страховой идентификационный номер (для застрахованных лиц);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номер пенсионного дела;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- дата назначения пенсии;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- вид пенсии;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 w:cs="Courier New"/>
          <w:sz w:val="32"/>
          <w:szCs w:val="32"/>
          <w:lang w:val="tg-Cyrl-TJ"/>
        </w:rPr>
      </w:pPr>
      <w:r w:rsidRPr="0035007D">
        <w:rPr>
          <w:rFonts w:ascii="Times New Roman Tj" w:hAnsi="Times New Roman Tj" w:cs="Courier New"/>
          <w:sz w:val="32"/>
          <w:szCs w:val="32"/>
          <w:lang w:val="tg-Cyrl-TJ"/>
        </w:rPr>
        <w:t>- размер пенсии.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tg-Cyrl-TJ"/>
        </w:rPr>
        <w:t xml:space="preserve">7. Граждане, являющиеся получателями пенсии нетрудоспособных членов семьи потерявшего кормильца и пенсионное дело оформлено на них, в Реестр наряду с их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фамилией, именем и отчеством вносятся фамилии, имена, отчества, день, месяц и год рождения каждого нетрудоспособного члена семьи, которому назначена пенсия. </w:t>
      </w: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b/>
          <w:color w:val="auto"/>
          <w:sz w:val="32"/>
          <w:szCs w:val="32"/>
          <w:lang w:val="ru-RU"/>
        </w:rPr>
      </w:pP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auto"/>
          <w:sz w:val="32"/>
          <w:szCs w:val="32"/>
          <w:lang w:val="ru-RU"/>
        </w:rPr>
        <w:t xml:space="preserve">3. Порядок ведения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Реестра в бумажной форме</w:t>
      </w:r>
    </w:p>
    <w:p w:rsidR="00D30861" w:rsidRPr="0035007D" w:rsidRDefault="00D30861" w:rsidP="00D30861">
      <w:pPr>
        <w:pStyle w:val="5"/>
        <w:spacing w:before="0"/>
        <w:jc w:val="left"/>
        <w:rPr>
          <w:rFonts w:ascii="Times New Roman Tj" w:hAnsi="Times New Roman Tj" w:cs="Tahoma"/>
          <w:b/>
          <w:sz w:val="32"/>
          <w:szCs w:val="32"/>
          <w:lang w:val="ru-RU"/>
        </w:rPr>
      </w:pPr>
    </w:p>
    <w:p w:rsidR="00D30861" w:rsidRPr="0035007D" w:rsidRDefault="00D30861" w:rsidP="00D30861">
      <w:pPr>
        <w:pStyle w:val="5"/>
        <w:spacing w:before="0"/>
        <w:ind w:firstLine="540"/>
        <w:jc w:val="both"/>
        <w:rPr>
          <w:rFonts w:ascii="Times New Roman Tj" w:hAnsi="Times New Roman Tj" w:cs="Tahoma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auto"/>
          <w:sz w:val="32"/>
          <w:szCs w:val="32"/>
          <w:lang w:val="ru-RU"/>
        </w:rPr>
        <w:t xml:space="preserve">8. </w:t>
      </w:r>
      <w:proofErr w:type="gramStart"/>
      <w:r w:rsidRPr="0035007D">
        <w:rPr>
          <w:rFonts w:ascii="Times New Roman Tj" w:hAnsi="Times New Roman Tj" w:cs="Tahoma"/>
          <w:color w:val="auto"/>
          <w:sz w:val="32"/>
          <w:szCs w:val="32"/>
          <w:lang w:val="ru-RU"/>
        </w:rPr>
        <w:t>Бумажная форма Реестра ведется соответствующей структурной подразделении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уполномоченного государственного органа в сфере пенсионного обеспечения на местах в последовательности и в зависимости от числа граждан, которым назначена либо назначается пенсия в соответствии с Законом Республики Таджикистан «О страховых и государственных пенсиях» и Законом Республики Таджикистан «О пенсионном обеспечении граждан Республики Таджикистан».</w:t>
      </w:r>
      <w:proofErr w:type="gramEnd"/>
    </w:p>
    <w:p w:rsidR="00D30861" w:rsidRPr="0035007D" w:rsidRDefault="00D30861" w:rsidP="00D30861">
      <w:pPr>
        <w:pStyle w:val="5"/>
        <w:spacing w:before="0"/>
        <w:ind w:firstLine="540"/>
        <w:jc w:val="both"/>
        <w:rPr>
          <w:rFonts w:ascii="Times New Roman Tj" w:hAnsi="Times New Roman Tj" w:cs="Tahoma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auto"/>
          <w:sz w:val="32"/>
          <w:szCs w:val="32"/>
          <w:lang w:val="ru-RU"/>
        </w:rPr>
        <w:lastRenderedPageBreak/>
        <w:t>9. Для ведения бумажной формы Реестра в соответствующей структурной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proofErr w:type="gramStart"/>
      <w:r w:rsidRPr="0035007D">
        <w:rPr>
          <w:rFonts w:ascii="Times New Roman Tj" w:hAnsi="Times New Roman Tj" w:cs="Tahoma"/>
          <w:color w:val="auto"/>
          <w:sz w:val="32"/>
          <w:szCs w:val="32"/>
          <w:lang w:val="ru-RU"/>
        </w:rPr>
        <w:t>подразделении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уполномоченного государственного органа в сфере пенсионного обеспечения на местах заводится отдельная книга.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10. В зависимости от вида пенсий Реестр состоит из следующих разделов: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- общий список пенсионеров;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- получатели трудовых пенсий;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- получатели страховых пенсий;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- получатели социальных пенсий.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11.</w:t>
      </w:r>
      <w:proofErr w:type="gramStart"/>
      <w:r w:rsidRPr="0035007D">
        <w:rPr>
          <w:rFonts w:ascii="Times New Roman Tj" w:hAnsi="Times New Roman Tj" w:cs="Tahoma"/>
          <w:b/>
          <w:sz w:val="32"/>
          <w:szCs w:val="32"/>
          <w:lang w:val="ru-RU"/>
        </w:rPr>
        <w:t>С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>оответствующая</w:t>
      </w:r>
      <w:proofErr w:type="gramEnd"/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 структурная подразделении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уполномоченного государственного органа в сфере пенсионного обеспечения обязана после назначения пенсии внести в Реестр необходимые сведения о пенсионере,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>предусмотренные в пунктах 6-7 настоящего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Порядка.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12. В случае заполнения книги, в которой ведется Реестр, для дальнейшего его продолжения заводится новая книга и ставится порядковый номер, следующий за последней записью в предыдущем книге.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13. В конце каждой заполненной книги ставится подпись руководителя</w:t>
      </w:r>
      <w:r w:rsidRPr="0035007D">
        <w:rPr>
          <w:rFonts w:ascii="Times New Roman Tj" w:hAnsi="Times New Roman Tj" w:cs="Tahoma"/>
          <w:b/>
          <w:sz w:val="32"/>
          <w:szCs w:val="32"/>
          <w:lang w:val="ru-RU"/>
        </w:rPr>
        <w:t xml:space="preserve"> с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>оответствующей структурной подразделении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уполномоченного государственного органа в сфере пенсионного обеспечения и его печать.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pStyle w:val="a3"/>
        <w:spacing w:before="0"/>
        <w:ind w:firstLine="540"/>
        <w:jc w:val="center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>4. Порядок ведения электронной формы Реестра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14. Ведения электронной формы Реестра осуществляется центральным аппаратом уполномоченного государственного органа в сфере пенсионного обеспечения на основании                            ее бумажной формы, включающей в себя сведения, 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>предусмотренные пунктами 6-7 Порядка ведения Реестра,</w:t>
      </w:r>
      <w:r w:rsidRPr="0035007D">
        <w:rPr>
          <w:rFonts w:ascii="Times New Roman Tj" w:hAnsi="Times New Roman Tj" w:cs="Tahoma"/>
          <w:color w:val="FF0000"/>
          <w:sz w:val="32"/>
          <w:szCs w:val="32"/>
          <w:lang w:val="ru-RU"/>
        </w:rPr>
        <w:t xml:space="preserve"> 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которая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ведется его структурами на местах.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15. Электронная форма Реестра ведется, в зависимости от вида пенсии, в разделах (страницах), предусмотренных в пункте 10 настоящего Порядка.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16. Доступ к электронной форме Реестра осуществляется посредством логина и пароля, устанавливаемого ответственными лицами центрального аппарата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 xml:space="preserve">уполномоченного государственного органа в сфере пенсионного обеспечения.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17. В целях ведения Реестра 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в</w:t>
      </w:r>
      <w:proofErr w:type="gramEnd"/>
      <w:r w:rsidRPr="0035007D">
        <w:rPr>
          <w:rFonts w:ascii="Times New Roman Tj" w:hAnsi="Times New Roman Tj" w:cs="Tahoma"/>
          <w:b/>
          <w:sz w:val="32"/>
          <w:szCs w:val="32"/>
          <w:lang w:val="ru-RU"/>
        </w:rPr>
        <w:t xml:space="preserve"> </w:t>
      </w:r>
      <w:proofErr w:type="gramStart"/>
      <w:r w:rsidRPr="0035007D">
        <w:rPr>
          <w:rFonts w:ascii="Times New Roman Tj" w:hAnsi="Times New Roman Tj" w:cs="Tahoma"/>
          <w:b/>
          <w:sz w:val="32"/>
          <w:szCs w:val="32"/>
          <w:lang w:val="ru-RU"/>
        </w:rPr>
        <w:t>с</w:t>
      </w:r>
      <w:r w:rsidRPr="0035007D">
        <w:rPr>
          <w:rFonts w:ascii="Times New Roman Tj" w:hAnsi="Times New Roman Tj" w:cs="Tahoma"/>
          <w:sz w:val="32"/>
          <w:szCs w:val="32"/>
          <w:lang w:val="ru-RU"/>
        </w:rPr>
        <w:t>оответствующим</w:t>
      </w:r>
      <w:proofErr w:type="gramEnd"/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 структурным подразделением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уполномоченного государственного органа в сфере пенсионного обеспечения со стороны руководителя этого органа определяются ответственные работники, которым выдается логин и пароль.</w:t>
      </w:r>
    </w:p>
    <w:p w:rsidR="00D30861" w:rsidRPr="0035007D" w:rsidRDefault="00D30861" w:rsidP="00D30861">
      <w:pPr>
        <w:pStyle w:val="5"/>
        <w:spacing w:before="0"/>
        <w:ind w:firstLine="540"/>
        <w:jc w:val="both"/>
        <w:rPr>
          <w:rFonts w:ascii="Times New Roman Tj" w:hAnsi="Times New Roman Tj" w:cs="Tahoma"/>
          <w:color w:val="auto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18. Ответственный работник обязан ежедневно вводить в электронную форму Реестра сведения о гражданах, предусмотренные пунктами 6-7 Порядка, ведения Реестра,  которым назначена или будет назначена пенсия в соответствии с Законом Республики Таджикистан  «О страховых и государственных пенсиях» и Законом Республики Таджикистан «О пенсионном обеспечении граждан Республики Таджикистан».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spacing w:line="228" w:lineRule="auto"/>
        <w:jc w:val="center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5. Порядок исключения сведений о пенсионеров </w:t>
      </w:r>
    </w:p>
    <w:p w:rsidR="00D30861" w:rsidRPr="0035007D" w:rsidRDefault="00D30861" w:rsidP="00D30861">
      <w:pPr>
        <w:spacing w:line="228" w:lineRule="auto"/>
        <w:jc w:val="center"/>
        <w:rPr>
          <w:rFonts w:ascii="Times New Roman Tj" w:hAnsi="Times New Roman Tj" w:cs="Tahoma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из электронной формы Реестра</w:t>
      </w:r>
    </w:p>
    <w:p w:rsidR="00D30861" w:rsidRPr="0035007D" w:rsidRDefault="00D30861" w:rsidP="00D30861">
      <w:pPr>
        <w:pStyle w:val="a3"/>
        <w:spacing w:before="0"/>
        <w:jc w:val="center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19. Сведения о пенсионерах, выбывших в связи со смертью, окончанием срока действия группы инвалидности, выездом за пределы республики на постоянное место жительства, достижением совершеннолетия (пенсии по случаю потери кормильца) и других случаях, прекращения пенсии предусмотренных законодательством Республики Таджикистан, ответственным работником в течени</w:t>
      </w:r>
      <w:proofErr w:type="gramStart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и</w:t>
      </w:r>
      <w:proofErr w:type="gramEnd"/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трех дней исключается из электронной формы Реестра.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20. Сведения о пенсионерах, пенсии которых приостанавливаются в случаях, предусмотренных в пункте 19 Порядка ведения Реестра, хранятся отдельно. 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pStyle w:val="a3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6. Обеспечение информационной безопасности </w:t>
      </w: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и предупреждение уничтожения сведений </w:t>
      </w: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>электронной формы Реестра</w:t>
      </w: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</w:p>
    <w:p w:rsidR="00D30861" w:rsidRPr="0035007D" w:rsidRDefault="00D30861" w:rsidP="00D30861">
      <w:pPr>
        <w:pStyle w:val="a3"/>
        <w:spacing w:before="0"/>
        <w:ind w:firstLine="540"/>
        <w:rPr>
          <w:rFonts w:ascii="Times New Roman Tj" w:hAnsi="Times New Roman Tj" w:cs="Tahoma"/>
          <w:color w:val="000000"/>
          <w:sz w:val="32"/>
          <w:szCs w:val="32"/>
          <w:lang w:val="ru-RU"/>
        </w:rPr>
      </w:pP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21. В целях обеспечения информационной безопасности и предупреждения уничтожения сведений, Реестра, хранящихся в 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lastRenderedPageBreak/>
        <w:t xml:space="preserve">электронной форме ответственные  работники центрального аппарата уполномоченного государственного органа в сфере пенсионного обеспечения по ведению Реестра обязаны обеспечить резервный  сервер и автоматический перевод в него вновь поступившей информации. </w:t>
      </w:r>
    </w:p>
    <w:p w:rsidR="00D30861" w:rsidRPr="0035007D" w:rsidRDefault="00D30861" w:rsidP="00D30861">
      <w:pPr>
        <w:pStyle w:val="5"/>
        <w:spacing w:before="0"/>
        <w:rPr>
          <w:rFonts w:ascii="Times New Roman Tj" w:hAnsi="Times New Roman Tj" w:cs="Tahoma"/>
          <w:b/>
          <w:sz w:val="32"/>
          <w:szCs w:val="32"/>
          <w:lang w:val="ru-RU"/>
        </w:rPr>
      </w:pPr>
    </w:p>
    <w:p w:rsidR="00D30861" w:rsidRPr="0035007D" w:rsidRDefault="00D30861" w:rsidP="00D30861">
      <w:pPr>
        <w:jc w:val="center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7.  </w:t>
      </w:r>
      <w:proofErr w:type="gramStart"/>
      <w:r w:rsidRPr="0035007D">
        <w:rPr>
          <w:rFonts w:ascii="Times New Roman Tj" w:hAnsi="Times New Roman Tj" w:cs="Tahoma"/>
          <w:sz w:val="32"/>
          <w:szCs w:val="32"/>
          <w:lang w:val="ru-RU"/>
        </w:rPr>
        <w:t>Контроль за</w:t>
      </w:r>
      <w:proofErr w:type="gramEnd"/>
      <w:r w:rsidRPr="0035007D">
        <w:rPr>
          <w:rFonts w:ascii="Times New Roman Tj" w:hAnsi="Times New Roman Tj" w:cs="Tahoma"/>
          <w:sz w:val="32"/>
          <w:szCs w:val="32"/>
          <w:lang w:val="ru-RU"/>
        </w:rPr>
        <w:t xml:space="preserve"> правильностью ведения Реестра </w:t>
      </w:r>
      <w:r w:rsidRPr="0035007D">
        <w:rPr>
          <w:rFonts w:ascii="Times New Roman Tj" w:hAnsi="Times New Roman Tj"/>
          <w:sz w:val="32"/>
          <w:szCs w:val="32"/>
          <w:lang w:val="tg-Cyrl-TJ"/>
        </w:rPr>
        <w:t xml:space="preserve">   </w:t>
      </w:r>
    </w:p>
    <w:p w:rsidR="00D30861" w:rsidRPr="0035007D" w:rsidRDefault="00D30861" w:rsidP="00D3086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D30861" w:rsidRPr="009D6195" w:rsidRDefault="00D30861" w:rsidP="00D30861">
      <w:pPr>
        <w:ind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5007D">
        <w:rPr>
          <w:rFonts w:ascii="Times New Roman Tj" w:hAnsi="Times New Roman Tj"/>
          <w:sz w:val="32"/>
          <w:szCs w:val="32"/>
          <w:lang w:val="tg-Cyrl-TJ"/>
        </w:rPr>
        <w:t>22. Контроль за правильным в едением Реестра,  в том числе своевременным введением и выведением соответствующих сведений и обеспечением</w:t>
      </w:r>
      <w:r w:rsidRPr="0035007D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информационной безопасности осуществляется структурным подразделение уполномоченного государственного органа в сфере пенсионного обеспечения.</w:t>
      </w:r>
      <w:r w:rsidRPr="009D6195">
        <w:rPr>
          <w:rFonts w:ascii="Times New Roman Tj" w:hAnsi="Times New Roman Tj" w:cs="Tahoma"/>
          <w:color w:val="000000"/>
          <w:sz w:val="32"/>
          <w:szCs w:val="32"/>
          <w:lang w:val="ru-RU"/>
        </w:rPr>
        <w:t xml:space="preserve"> </w:t>
      </w:r>
      <w:r w:rsidRPr="009D6195">
        <w:rPr>
          <w:rFonts w:ascii="Times New Roman Tj" w:hAnsi="Times New Roman Tj"/>
          <w:sz w:val="32"/>
          <w:szCs w:val="32"/>
          <w:lang w:val="tg-Cyrl-TJ"/>
        </w:rPr>
        <w:t xml:space="preserve"> </w:t>
      </w: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tg-Cyrl-TJ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/>
          <w:sz w:val="32"/>
          <w:szCs w:val="32"/>
          <w:lang w:val="ru-RU"/>
        </w:rPr>
      </w:pPr>
    </w:p>
    <w:p w:rsidR="00D30861" w:rsidRPr="009D6195" w:rsidRDefault="00D30861" w:rsidP="00D30861">
      <w:pPr>
        <w:ind w:firstLine="540"/>
        <w:jc w:val="both"/>
        <w:rPr>
          <w:rFonts w:ascii="Calibri" w:hAnsi="Calibri" w:cs="Tahoma"/>
          <w:color w:val="000000"/>
          <w:sz w:val="32"/>
          <w:szCs w:val="32"/>
          <w:lang w:val="ru-RU"/>
        </w:rPr>
      </w:pPr>
    </w:p>
    <w:p w:rsidR="00777A65" w:rsidRPr="00D30861" w:rsidRDefault="00777A65">
      <w:pPr>
        <w:rPr>
          <w:lang w:val="ru-RU"/>
        </w:rPr>
      </w:pPr>
    </w:p>
    <w:sectPr w:rsidR="00777A65" w:rsidRPr="00D30861" w:rsidSect="00324255">
      <w:pgSz w:w="12240" w:h="15840"/>
      <w:pgMar w:top="1080" w:right="1080" w:bottom="90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0861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3C23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0861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0861"/>
    <w:pPr>
      <w:spacing w:before="225"/>
      <w:jc w:val="center"/>
      <w:outlineLvl w:val="4"/>
    </w:pPr>
    <w:rPr>
      <w:rFonts w:ascii="Cambria" w:hAnsi="Cambria"/>
      <w:color w:val="243F6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0861"/>
    <w:rPr>
      <w:rFonts w:ascii="Cambria" w:eastAsia="Times New Roman" w:hAnsi="Cambria" w:cs="Times New Roman"/>
      <w:color w:val="243F60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D30861"/>
    <w:pPr>
      <w:spacing w:before="105"/>
      <w:ind w:firstLine="450"/>
      <w:jc w:val="both"/>
    </w:pPr>
  </w:style>
  <w:style w:type="paragraph" w:customStyle="1" w:styleId="dname">
    <w:name w:val="dname"/>
    <w:basedOn w:val="a"/>
    <w:uiPriority w:val="99"/>
    <w:rsid w:val="00D30861"/>
    <w:pPr>
      <w:spacing w:before="225"/>
      <w:jc w:val="center"/>
    </w:pPr>
    <w:rPr>
      <w:b/>
      <w:bCs/>
      <w:color w:val="003399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Faysal</cp:lastModifiedBy>
  <cp:revision>2</cp:revision>
  <dcterms:created xsi:type="dcterms:W3CDTF">2017-04-14T08:18:00Z</dcterms:created>
  <dcterms:modified xsi:type="dcterms:W3CDTF">2017-04-14T08:18:00Z</dcterms:modified>
</cp:coreProperties>
</file>