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7" w:rsidRPr="00715940" w:rsidRDefault="00341355" w:rsidP="001A3D17">
      <w:pPr>
        <w:shd w:val="clear" w:color="auto" w:fill="FFFFFF"/>
        <w:spacing w:after="0" w:line="240" w:lineRule="auto"/>
        <w:jc w:val="center"/>
        <w:rPr>
          <w:rFonts w:ascii="Times New Roman Tj" w:hAnsi="Times New Roman Tj"/>
          <w:noProof/>
          <w:spacing w:val="-5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pacing w:val="-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-168275</wp:posOffset>
            </wp:positionV>
            <wp:extent cx="759460" cy="768985"/>
            <wp:effectExtent l="19050" t="0" r="2540" b="0"/>
            <wp:wrapSquare wrapText="right"/>
            <wp:docPr id="6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1A3D17" w:rsidRPr="00715940" w:rsidRDefault="00B41300" w:rsidP="001A3D17">
      <w:pPr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</w:rPr>
      </w:pPr>
      <w:proofErr w:type="gramStart"/>
      <w:r>
        <w:rPr>
          <w:rFonts w:ascii="Times New Roman Tj" w:hAnsi="Times New Roman Tj" w:cs="Courier New"/>
          <w:b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b/>
          <w:sz w:val="34"/>
          <w:szCs w:val="34"/>
        </w:rPr>
        <w:t xml:space="preserve">УКУМАТИ  </w:t>
      </w:r>
      <w:r>
        <w:rPr>
          <w:rFonts w:ascii="Times New Roman Tj" w:hAnsi="Times New Roman Tj" w:cs="Courier New"/>
          <w:b/>
          <w:sz w:val="34"/>
          <w:szCs w:val="34"/>
        </w:rPr>
        <w:t>Ҷ</w:t>
      </w:r>
      <w:r w:rsidR="001A3D17" w:rsidRPr="00715940">
        <w:rPr>
          <w:rFonts w:ascii="Times New Roman Tj" w:hAnsi="Times New Roman Tj" w:cs="Courier New"/>
          <w:b/>
          <w:sz w:val="34"/>
          <w:szCs w:val="34"/>
        </w:rPr>
        <w:t>УМ</w:t>
      </w:r>
      <w:r>
        <w:rPr>
          <w:rFonts w:ascii="Times New Roman Tj" w:hAnsi="Times New Roman Tj" w:cs="Courier New"/>
          <w:b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b/>
          <w:sz w:val="34"/>
          <w:szCs w:val="34"/>
        </w:rPr>
        <w:t>УРИИ</w:t>
      </w:r>
      <w:proofErr w:type="gramEnd"/>
      <w:r w:rsidR="001A3D17" w:rsidRPr="00715940">
        <w:rPr>
          <w:rFonts w:ascii="Times New Roman Tj" w:hAnsi="Times New Roman Tj" w:cs="Courier New"/>
          <w:b/>
          <w:sz w:val="34"/>
          <w:szCs w:val="34"/>
        </w:rPr>
        <w:t xml:space="preserve">  ТО</w:t>
      </w:r>
      <w:r>
        <w:rPr>
          <w:rFonts w:ascii="Times New Roman Tj" w:hAnsi="Times New Roman Tj" w:cs="Courier New"/>
          <w:b/>
          <w:sz w:val="34"/>
          <w:szCs w:val="34"/>
        </w:rPr>
        <w:t>Ҷ</w:t>
      </w:r>
      <w:r w:rsidR="001A3D17" w:rsidRPr="00715940">
        <w:rPr>
          <w:rFonts w:ascii="Times New Roman Tj" w:hAnsi="Times New Roman Tj" w:cs="Courier New"/>
          <w:b/>
          <w:sz w:val="34"/>
          <w:szCs w:val="34"/>
        </w:rPr>
        <w:t>ИКИСТОН</w:t>
      </w:r>
    </w:p>
    <w:p w:rsidR="001A3D17" w:rsidRPr="00715940" w:rsidRDefault="00B41300" w:rsidP="001A3D17">
      <w:pPr>
        <w:spacing w:after="0" w:line="240" w:lineRule="auto"/>
        <w:jc w:val="center"/>
        <w:rPr>
          <w:rFonts w:ascii="Times New Roman Tj" w:hAnsi="Times New Roman Tj"/>
          <w:b/>
          <w:sz w:val="34"/>
          <w:szCs w:val="34"/>
        </w:rPr>
      </w:pPr>
      <w:r>
        <w:rPr>
          <w:rFonts w:ascii="Times New Roman Tj" w:hAnsi="Times New Roman Tj"/>
          <w:b/>
          <w:sz w:val="34"/>
          <w:szCs w:val="34"/>
        </w:rPr>
        <w:t>Қ</w:t>
      </w:r>
      <w:r w:rsidR="001A3D17" w:rsidRPr="00715940">
        <w:rPr>
          <w:rFonts w:ascii="Times New Roman Tj" w:hAnsi="Times New Roman Tj"/>
          <w:b/>
          <w:sz w:val="34"/>
          <w:szCs w:val="34"/>
        </w:rPr>
        <w:t xml:space="preserve"> А Р О Р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b/>
          <w:sz w:val="34"/>
          <w:szCs w:val="34"/>
        </w:rPr>
      </w:pPr>
      <w:r w:rsidRPr="00715940">
        <w:rPr>
          <w:rFonts w:ascii="Times New Roman Tj" w:hAnsi="Times New Roman Tj"/>
          <w:b/>
          <w:sz w:val="34"/>
          <w:szCs w:val="34"/>
        </w:rPr>
        <w:t>ПРАВИТЕЛЬСТВО РЕСПУБЛИКИ ТАДЖИКИСТАН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b/>
          <w:sz w:val="34"/>
          <w:szCs w:val="34"/>
        </w:rPr>
      </w:pPr>
      <w:r w:rsidRPr="00715940">
        <w:rPr>
          <w:rFonts w:ascii="Times New Roman Tj" w:hAnsi="Times New Roman Tj"/>
          <w:b/>
          <w:sz w:val="34"/>
          <w:szCs w:val="34"/>
        </w:rPr>
        <w:t>ПОСТОНОВЛЕНИЕ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аз 2 марти соли 2013, № 91                                    ш. Душанбе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 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</w:p>
    <w:p w:rsidR="001A3D17" w:rsidRPr="00B4130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bookmarkStart w:id="0" w:name="_GoBack"/>
      <w:r w:rsidRPr="00B41300">
        <w:rPr>
          <w:rFonts w:ascii="Times New Roman Tj" w:hAnsi="Times New Roman Tj"/>
          <w:b/>
          <w:noProof/>
          <w:sz w:val="34"/>
          <w:szCs w:val="34"/>
          <w:lang w:val="tg-Cyrl-TJ"/>
        </w:rPr>
        <w:t>Дар бораи Т</w:t>
      </w:r>
      <w:r w:rsidRPr="00B41300">
        <w:rPr>
          <w:rFonts w:ascii="Times New Roman Tj" w:hAnsi="Times New Roman Tj" w:cs="Courier New"/>
          <w:b/>
          <w:sz w:val="34"/>
          <w:szCs w:val="34"/>
          <w:lang w:val="tg-Cyrl-TJ"/>
        </w:rPr>
        <w:t>артиби пардохти нафа</w:t>
      </w:r>
      <w:r w:rsidR="00B41300" w:rsidRPr="00B4130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қа ба кўдаконе, </w:t>
      </w:r>
      <w:r w:rsidRPr="00B41300">
        <w:rPr>
          <w:rFonts w:ascii="Times New Roman Tj" w:hAnsi="Times New Roman Tj" w:cs="Courier New"/>
          <w:b/>
          <w:sz w:val="34"/>
          <w:szCs w:val="34"/>
          <w:lang w:val="tg-Cyrl-TJ"/>
        </w:rPr>
        <w:t>ки дар таъминоти пурраи давлат мебошанд</w:t>
      </w:r>
    </w:p>
    <w:bookmarkEnd w:id="0"/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 </w:t>
      </w:r>
    </w:p>
    <w:p w:rsidR="001A3D17" w:rsidRPr="00715940" w:rsidRDefault="001A3D17" w:rsidP="001A3D17">
      <w:pPr>
        <w:shd w:val="clear" w:color="auto" w:fill="FFFFFF"/>
        <w:spacing w:after="0" w:line="240" w:lineRule="auto"/>
        <w:ind w:firstLine="562"/>
        <w:jc w:val="both"/>
        <w:rPr>
          <w:rFonts w:ascii="Times New Roman Tj" w:hAnsi="Times New Roman Tj"/>
          <w:noProof/>
          <w:sz w:val="34"/>
          <w:szCs w:val="34"/>
          <w:lang w:val="tg-Cyrl-TJ"/>
        </w:rPr>
      </w:pP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Мутоби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и моддаи 38 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онуни 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икистон «Дар бораи таъмини нафа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аи ша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рвандони 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икистон» 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укумати </w:t>
      </w:r>
      <w:r w:rsidR="00B41300">
        <w:rPr>
          <w:rFonts w:ascii="Times New Roman Tj" w:hAnsi="Times New Roman Tj" w:cs="Lucida Sans Unicode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Lucida Sans Unicode"/>
          <w:noProof/>
          <w:sz w:val="34"/>
          <w:szCs w:val="34"/>
          <w:lang w:val="tg-Cyrl-TJ"/>
        </w:rPr>
        <w:t>у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м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Lucida Sans Unicode"/>
          <w:noProof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икистон 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 а р о р  м е к у н а д: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2"/>
        <w:jc w:val="both"/>
        <w:rPr>
          <w:rFonts w:ascii="Times New Roman Tj" w:hAnsi="Times New Roman Tj"/>
          <w:noProof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Тартиби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 ба кўдаконе, ки дар таъминоти пурраи давлат мебошанд, 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>тасди</w:t>
      </w:r>
      <w:r w:rsidR="00B41300">
        <w:rPr>
          <w:rFonts w:ascii="Times New Roman Tj" w:hAnsi="Times New Roman Tj"/>
          <w:noProof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/>
          <w:noProof/>
          <w:sz w:val="34"/>
          <w:szCs w:val="34"/>
          <w:lang w:val="tg-Cyrl-TJ"/>
        </w:rPr>
        <w:t xml:space="preserve"> карда шавад (замима мегардад).</w:t>
      </w:r>
    </w:p>
    <w:p w:rsidR="001A3D17" w:rsidRPr="00715940" w:rsidRDefault="001A3D17" w:rsidP="001A3D17">
      <w:pPr>
        <w:shd w:val="clear" w:color="auto" w:fill="FFFFFF"/>
        <w:spacing w:after="0" w:line="240" w:lineRule="auto"/>
        <w:ind w:firstLine="562"/>
        <w:jc w:val="both"/>
        <w:rPr>
          <w:rFonts w:ascii="Times New Roman Tj" w:hAnsi="Times New Roman Tj"/>
          <w:noProof/>
          <w:sz w:val="34"/>
          <w:szCs w:val="34"/>
          <w:lang w:val="tg-Cyrl-TJ"/>
        </w:rPr>
      </w:pPr>
    </w:p>
    <w:p w:rsidR="001A3D17" w:rsidRPr="00715940" w:rsidRDefault="001A3D17" w:rsidP="001A3D17">
      <w:pPr>
        <w:shd w:val="clear" w:color="auto" w:fill="FFFFFF"/>
        <w:spacing w:after="0" w:line="240" w:lineRule="auto"/>
        <w:ind w:firstLine="567"/>
        <w:jc w:val="both"/>
        <w:rPr>
          <w:rFonts w:ascii="Times New Roman Tj" w:hAnsi="Times New Roman Tj"/>
          <w:noProof/>
          <w:sz w:val="34"/>
          <w:szCs w:val="34"/>
          <w:lang w:val="tg-Cyrl-TJ"/>
        </w:rPr>
      </w:pPr>
    </w:p>
    <w:p w:rsidR="001A3D17" w:rsidRPr="00715940" w:rsidRDefault="001A3D17" w:rsidP="001A3D17">
      <w:pPr>
        <w:shd w:val="clear" w:color="auto" w:fill="FFFFFF"/>
        <w:spacing w:after="0" w:line="240" w:lineRule="auto"/>
        <w:ind w:firstLine="567"/>
        <w:rPr>
          <w:rFonts w:ascii="Times New Roman Tj" w:hAnsi="Times New Roman Tj"/>
          <w:b/>
          <w:noProof/>
          <w:spacing w:val="1"/>
          <w:sz w:val="34"/>
          <w:szCs w:val="34"/>
          <w:lang w:val="tg-Cyrl-TJ"/>
        </w:rPr>
      </w:pPr>
      <w:r w:rsidRPr="00715940">
        <w:rPr>
          <w:rFonts w:ascii="Times New Roman Tj" w:hAnsi="Times New Roman Tj"/>
          <w:b/>
          <w:noProof/>
          <w:spacing w:val="1"/>
          <w:sz w:val="34"/>
          <w:szCs w:val="34"/>
          <w:lang w:val="tg-Cyrl-TJ"/>
        </w:rPr>
        <w:t xml:space="preserve">             Раиси</w:t>
      </w:r>
    </w:p>
    <w:p w:rsidR="001A3D17" w:rsidRPr="00715940" w:rsidRDefault="00B41300" w:rsidP="001A3D17">
      <w:pPr>
        <w:shd w:val="clear" w:color="auto" w:fill="FFFFFF"/>
        <w:spacing w:after="0" w:line="240" w:lineRule="auto"/>
        <w:ind w:firstLine="567"/>
        <w:rPr>
          <w:rFonts w:ascii="Times New Roman Tj" w:hAnsi="Times New Roman Tj"/>
          <w:b/>
          <w:noProof/>
          <w:sz w:val="34"/>
          <w:szCs w:val="34"/>
          <w:lang w:val="tg-Cyrl-TJ"/>
        </w:rPr>
      </w:pPr>
      <w:r>
        <w:rPr>
          <w:rFonts w:ascii="Times New Roman Tj" w:hAnsi="Times New Roman Tj"/>
          <w:b/>
          <w:noProof/>
          <w:sz w:val="34"/>
          <w:szCs w:val="34"/>
          <w:lang w:val="tg-Cyrl-TJ"/>
        </w:rPr>
        <w:t>Ҳ</w:t>
      </w:r>
      <w:r w:rsidR="001A3D17" w:rsidRPr="00715940">
        <w:rPr>
          <w:rFonts w:ascii="Times New Roman Tj" w:hAnsi="Times New Roman Tj"/>
          <w:b/>
          <w:noProof/>
          <w:sz w:val="34"/>
          <w:szCs w:val="34"/>
          <w:lang w:val="tg-Cyrl-TJ"/>
        </w:rPr>
        <w:t xml:space="preserve">укумати </w:t>
      </w:r>
      <w:r>
        <w:rPr>
          <w:rFonts w:ascii="Times New Roman Tj" w:hAnsi="Times New Roman Tj" w:cs="Lucida Sans Unicode"/>
          <w:b/>
          <w:noProof/>
          <w:sz w:val="34"/>
          <w:szCs w:val="34"/>
          <w:lang w:val="tg-Cyrl-TJ"/>
        </w:rPr>
        <w:t>Ҷ</w:t>
      </w:r>
      <w:r w:rsidR="001A3D17" w:rsidRPr="00715940">
        <w:rPr>
          <w:rFonts w:ascii="Times New Roman Tj" w:hAnsi="Times New Roman Tj"/>
          <w:b/>
          <w:noProof/>
          <w:sz w:val="34"/>
          <w:szCs w:val="34"/>
          <w:lang w:val="tg-Cyrl-TJ"/>
        </w:rPr>
        <w:t>ум</w:t>
      </w:r>
      <w:r>
        <w:rPr>
          <w:rFonts w:ascii="Times New Roman Tj" w:hAnsi="Times New Roman Tj"/>
          <w:b/>
          <w:noProof/>
          <w:sz w:val="34"/>
          <w:szCs w:val="34"/>
          <w:lang w:val="tg-Cyrl-TJ"/>
        </w:rPr>
        <w:t>ҳ</w:t>
      </w:r>
      <w:r w:rsidR="001A3D17" w:rsidRPr="00715940">
        <w:rPr>
          <w:rFonts w:ascii="Times New Roman Tj" w:hAnsi="Times New Roman Tj"/>
          <w:b/>
          <w:noProof/>
          <w:sz w:val="34"/>
          <w:szCs w:val="34"/>
          <w:lang w:val="tg-Cyrl-TJ"/>
        </w:rPr>
        <w:t>урии                               Эмомал</w:t>
      </w:r>
      <w:r>
        <w:rPr>
          <w:rFonts w:ascii="Times New Roman Tj" w:hAnsi="Times New Roman Tj"/>
          <w:b/>
          <w:noProof/>
          <w:sz w:val="34"/>
          <w:szCs w:val="34"/>
          <w:lang w:val="tg-Cyrl-TJ"/>
        </w:rPr>
        <w:t>ӣ</w:t>
      </w:r>
      <w:r w:rsidR="001A3D17" w:rsidRPr="00715940">
        <w:rPr>
          <w:rFonts w:ascii="Times New Roman Tj" w:hAnsi="Times New Roman Tj"/>
          <w:b/>
          <w:noProof/>
          <w:sz w:val="34"/>
          <w:szCs w:val="34"/>
          <w:lang w:val="tg-Cyrl-TJ"/>
        </w:rPr>
        <w:t xml:space="preserve"> Ра</w:t>
      </w:r>
      <w:r>
        <w:rPr>
          <w:rFonts w:ascii="Times New Roman Tj" w:hAnsi="Times New Roman Tj"/>
          <w:b/>
          <w:noProof/>
          <w:sz w:val="34"/>
          <w:szCs w:val="34"/>
          <w:lang w:val="tg-Cyrl-TJ"/>
        </w:rPr>
        <w:t>ҳ</w:t>
      </w:r>
      <w:r w:rsidR="001A3D17" w:rsidRPr="00715940">
        <w:rPr>
          <w:rFonts w:ascii="Times New Roman Tj" w:hAnsi="Times New Roman Tj"/>
          <w:b/>
          <w:noProof/>
          <w:sz w:val="34"/>
          <w:szCs w:val="34"/>
          <w:lang w:val="tg-Cyrl-TJ"/>
        </w:rPr>
        <w:t xml:space="preserve">мон              </w:t>
      </w:r>
    </w:p>
    <w:p w:rsidR="001A3D17" w:rsidRPr="00715940" w:rsidRDefault="001A3D17" w:rsidP="001A3D17">
      <w:pPr>
        <w:shd w:val="clear" w:color="auto" w:fill="FFFFFF"/>
        <w:spacing w:after="0" w:line="240" w:lineRule="auto"/>
        <w:ind w:firstLine="567"/>
        <w:rPr>
          <w:rFonts w:ascii="Times New Roman Tj" w:hAnsi="Times New Roman Tj"/>
          <w:b/>
          <w:sz w:val="34"/>
          <w:szCs w:val="34"/>
          <w:lang w:val="tg-Cyrl-TJ"/>
        </w:rPr>
      </w:pPr>
      <w:r w:rsidRPr="00715940">
        <w:rPr>
          <w:rFonts w:ascii="Times New Roman Tj" w:hAnsi="Times New Roman Tj"/>
          <w:b/>
          <w:noProof/>
          <w:spacing w:val="3"/>
          <w:sz w:val="34"/>
          <w:szCs w:val="34"/>
          <w:lang w:val="tg-Cyrl-TJ"/>
        </w:rPr>
        <w:t xml:space="preserve">        То</w:t>
      </w:r>
      <w:r w:rsidR="00B41300">
        <w:rPr>
          <w:rFonts w:ascii="Times New Roman Tj" w:hAnsi="Times New Roman Tj" w:cs="Lucida Sans Unicode"/>
          <w:b/>
          <w:noProof/>
          <w:spacing w:val="3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/>
          <w:b/>
          <w:noProof/>
          <w:spacing w:val="3"/>
          <w:sz w:val="34"/>
          <w:szCs w:val="34"/>
          <w:lang w:val="tg-Cyrl-TJ"/>
        </w:rPr>
        <w:t>икистон</w:t>
      </w: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b/>
          <w:sz w:val="34"/>
          <w:szCs w:val="34"/>
          <w:lang w:val="tg-Cyrl-TJ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34"/>
          <w:szCs w:val="34"/>
          <w:lang w:val="tg-Cyrl-TJ"/>
        </w:rPr>
      </w:pPr>
    </w:p>
    <w:p w:rsidR="001A3D17" w:rsidRPr="00715940" w:rsidRDefault="001A3D17" w:rsidP="001A3D17">
      <w:pPr>
        <w:shd w:val="clear" w:color="auto" w:fill="FFFFFF"/>
        <w:spacing w:after="0" w:line="240" w:lineRule="auto"/>
        <w:ind w:firstLine="567"/>
        <w:jc w:val="right"/>
        <w:rPr>
          <w:rFonts w:ascii="Times New Roman Tj" w:hAnsi="Times New Roman Tj"/>
          <w:sz w:val="34"/>
          <w:szCs w:val="34"/>
          <w:lang w:val="tg-Cyrl-TJ"/>
        </w:rPr>
      </w:pP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</w:r>
      <w:r w:rsidRPr="00715940">
        <w:rPr>
          <w:rFonts w:ascii="Times New Roman Tj" w:hAnsi="Times New Roman Tj"/>
          <w:sz w:val="34"/>
          <w:szCs w:val="34"/>
          <w:lang w:val="tg-Cyrl-TJ"/>
        </w:rPr>
        <w:tab/>
        <w:t xml:space="preserve"> </w:t>
      </w:r>
    </w:p>
    <w:p w:rsidR="001A3D17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A3D17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A3D17" w:rsidRPr="00715940" w:rsidRDefault="001A3D17" w:rsidP="001A3D17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sz w:val="28"/>
          <w:szCs w:val="28"/>
          <w:lang w:val="tg-Cyrl-TJ"/>
        </w:rPr>
      </w:pP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/>
          <w:sz w:val="28"/>
          <w:szCs w:val="28"/>
          <w:lang w:val="tg-Cyrl-TJ"/>
        </w:rPr>
        <w:tab/>
      </w:r>
      <w:r w:rsidRPr="00715940">
        <w:rPr>
          <w:rFonts w:ascii="Times New Roman Tj" w:hAnsi="Times New Roman Tj" w:cs="Courier New"/>
          <w:sz w:val="28"/>
          <w:szCs w:val="28"/>
          <w:lang w:val="tg-Cyrl-TJ"/>
        </w:rPr>
        <w:tab/>
      </w:r>
      <w:r w:rsidRPr="00715940">
        <w:rPr>
          <w:rFonts w:ascii="Times New Roman Tj" w:hAnsi="Times New Roman Tj" w:cs="Courier New"/>
          <w:sz w:val="28"/>
          <w:szCs w:val="28"/>
          <w:lang w:val="tg-Cyrl-TJ"/>
        </w:rPr>
        <w:tab/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sz w:val="28"/>
          <w:szCs w:val="28"/>
          <w:lang w:val="tg-Cyrl-TJ"/>
        </w:rPr>
      </w:pPr>
      <w:r w:rsidRPr="00715940">
        <w:rPr>
          <w:rFonts w:ascii="Times New Roman Tj" w:hAnsi="Times New Roman Tj" w:cs="Courier New"/>
          <w:sz w:val="28"/>
          <w:szCs w:val="28"/>
          <w:lang w:val="tg-Cyrl-TJ"/>
        </w:rPr>
        <w:t xml:space="preserve">                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28"/>
          <w:szCs w:val="28"/>
          <w:lang w:val="tg-Cyrl-TJ"/>
        </w:rPr>
        <w:lastRenderedPageBreak/>
        <w:t xml:space="preserve">       </w:t>
      </w:r>
      <w:r w:rsidRPr="00715940">
        <w:rPr>
          <w:rFonts w:ascii="Times New Roman Tj" w:hAnsi="Times New Roman Tj" w:cs="Courier New"/>
          <w:sz w:val="28"/>
          <w:szCs w:val="28"/>
          <w:lang w:val="tg-Cyrl-TJ"/>
        </w:rPr>
        <w:tab/>
      </w:r>
      <w:r w:rsidRPr="00715940">
        <w:rPr>
          <w:rFonts w:ascii="Times New Roman Tj" w:hAnsi="Times New Roman Tj" w:cs="Courier New"/>
          <w:sz w:val="28"/>
          <w:szCs w:val="28"/>
          <w:lang w:val="tg-Cyrl-TJ"/>
        </w:rPr>
        <w:tab/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                              </w:t>
      </w:r>
      <w:r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Бо 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арори 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укумати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                                                    </w:t>
      </w:r>
      <w:r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икистон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                                                         аз 2 марти соли 2013, №91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                                                       </w:t>
      </w:r>
      <w:r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 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тасди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шудааст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ТАРТИБИ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пардохти нафа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а ба кўдаконе, ки дар таъминоти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пурраи давлат мебошанд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1. Му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аррароти умум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ӣ</w:t>
      </w:r>
    </w:p>
    <w:p w:rsidR="001A3D17" w:rsidRPr="00715940" w:rsidRDefault="001A3D17" w:rsidP="001A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1. Тартиби мазкур мутоби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и моддаи 38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онуни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икистон «Дар бораи таъмини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аи ша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рвандони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икистон» та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ия гардида,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оидаю шарт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саробонро ба кўдакони ятим, кўдаконе, ки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шуда, та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ти таъминоти пурраи давлат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ои таълимии системаи маорифи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икистон (минбаъд – муассисаи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)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арор доранд, муайян менамояд.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567"/>
          <w:tab w:val="left" w:pos="708"/>
          <w:tab w:val="left" w:pos="1416"/>
        </w:tabs>
        <w:spacing w:after="0" w:line="240" w:lineRule="auto"/>
        <w:ind w:firstLine="567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2. 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оида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ои пардохти нафа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рум </w:t>
      </w:r>
    </w:p>
    <w:p w:rsidR="001A3D17" w:rsidRPr="00715940" w:rsidRDefault="001A3D17" w:rsidP="001A3D17">
      <w:pPr>
        <w:tabs>
          <w:tab w:val="left" w:pos="567"/>
          <w:tab w:val="left" w:pos="708"/>
          <w:tab w:val="left" w:pos="1416"/>
        </w:tabs>
        <w:spacing w:after="0" w:line="240" w:lineRule="auto"/>
        <w:ind w:firstLine="567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шудан аз саробон дар давраи будубоши кўдак </w:t>
      </w:r>
    </w:p>
    <w:p w:rsidR="001A3D17" w:rsidRPr="00715940" w:rsidRDefault="001A3D17" w:rsidP="001A3D17">
      <w:pPr>
        <w:tabs>
          <w:tab w:val="left" w:pos="567"/>
          <w:tab w:val="left" w:pos="708"/>
          <w:tab w:val="left" w:pos="1416"/>
        </w:tabs>
        <w:spacing w:after="0" w:line="240" w:lineRule="auto"/>
        <w:ind w:firstLine="567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дар муассиса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b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b/>
          <w:sz w:val="34"/>
          <w:szCs w:val="34"/>
          <w:lang w:val="tg-Cyrl-TJ"/>
        </w:rPr>
        <w:t xml:space="preserve"> </w:t>
      </w:r>
    </w:p>
    <w:p w:rsidR="001A3D17" w:rsidRPr="00715940" w:rsidRDefault="001A3D17" w:rsidP="001A3D17">
      <w:pPr>
        <w:tabs>
          <w:tab w:val="left" w:pos="567"/>
          <w:tab w:val="left" w:pos="708"/>
          <w:tab w:val="left" w:pos="1416"/>
        </w:tabs>
        <w:spacing w:after="0" w:line="240" w:lineRule="auto"/>
        <w:ind w:firstLine="567"/>
        <w:jc w:val="center"/>
        <w:rPr>
          <w:rFonts w:ascii="Times New Roman Tj" w:hAnsi="Times New Roman Tj" w:cs="Courier New"/>
          <w:b/>
          <w:sz w:val="34"/>
          <w:szCs w:val="34"/>
          <w:lang w:val="tg-Cyrl-TJ"/>
        </w:rPr>
      </w:pP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2. Бо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сади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ифзи 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тимо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, таъмини бехатар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ва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уншавии мабла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пулии кўдакони то синни 18-солаи аз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румшуда ва кўдакони модари (падари) яккаву тан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фавтида (минбаъд – кўдакони ятими бекас), инчунин кўдаконе, ки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шудаанд ва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, аз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умла мактаб-интернат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о, хона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кўдакон ва дигар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ти таъминоти пурраи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арор доранд ва гирандаи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 мебошанд,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аи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бо ро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 инти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оли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армо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аи мабла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и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lastRenderedPageBreak/>
        <w:t>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 аз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ониби сохтори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омоти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дар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алли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ойгиршавии муассисаи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ба сурат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исоби депозитии дар Бонки давлатии амонатгузории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икистон «Амонатбонк» (минбаъд - Бонк) барои кўдак ба таври инфирод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кушодашуда, амал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карда мешавад.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3. Ба гурў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 кўдаконе, ки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рум шудаанд (ба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айр аз кўдакони ятими бекас) ва гирандаи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 мебошанд, кўдаконе дохил мешаванд, ки аз падар ва ё модар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руманд ва волидайни ягонаашон: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а) расман аз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волидайн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рум гаштааст;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б) бо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укми суд ва ё дар давраи тафтишот дар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бас аз озод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рум мебошад;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в) аз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ониби суд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айри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обили амал дониста шудааст;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г) аз тарбияи кўдак ва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ифзи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ў саркаш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менамояд.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4. Ба кўдаконе, ки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та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ти таъминоти пурраи давлат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арор доранд, васиён (парасторон) таъин намешаванд. Тиб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 му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аррароти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онунгузории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урии То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икистон 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рои ў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дадори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вас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(парастор) ба зиммаи ро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барияти ин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вогузор мебошад.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5. Ў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дадори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оид ба омодаг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,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амъовар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ва ба расмият даровардани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зарур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барои таъин ва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 ба кўдакони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арордошта ва кушодани сурат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исоб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депозитии бонк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барои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ба таври инфирод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, инчунин оид ба назорат аз рўи воридшавии мабла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ғҳ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ба сурат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исоб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мазкур ба зиммаи маъмурияти муассисаи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дар шахсияти шахси масъул оид ба таъмини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 вогузор карда мешавад.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6. Шахси масъул оид ба таъмини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омоти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дар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алли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ойгиршавии муассисаи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у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барои таъин ва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 заруриро пешни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од менамояд.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lastRenderedPageBreak/>
        <w:t>7. Асноди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ав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ва сурат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исоби депозит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ба номи кўдак дар асоси ша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одатномаи таваллуд ба расмият дароварда мешавад.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8.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дар мў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лати да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рўз муассисаи таълимиро оид ба таъин ё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 шудан аз саробон ого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менамояд.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9. Дар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ое, ки ба кўдакони ятими бекас, кўдакони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румшуда то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ойгиркун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вас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(парастор) таъин гардида, кўдак дар ин муассиса та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ти таъмини нопурраи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арор гирифта бошад,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 вас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(парастор) дар асос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умум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сурат мегирад.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  <w:lang w:val="tg-Cyrl-TJ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10. Дар сурати ба кўдакон таъин шудани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барои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рум шудан аз саробон то давраи 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ҷ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ойгиркунии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дар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,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 дар асоси маълумоти муассиса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, асноди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авии кўдакони ятими бекас ва кўдакони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румшударо аз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алли исти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омати пешинаи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дархост намуда, пардохти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аи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оро аз рўи талаботи Тартиби мазкур ба ро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мемонад.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11. Сурат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исоби депозит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тан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барои он кўдакони ятими бекас ва кўдакони аз парастории волидайн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румшудае кушода мешавад, ки васии (парастори) он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 муассисаи таълим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ҳ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суб меёбад.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лати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амали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пасандоз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то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расидани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синни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16-солаг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аррар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12.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ятими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бекас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волидайн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алли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ойгиршавии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фаъолиятдошта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кушода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B41300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proofErr w:type="spellStart"/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амзамон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ин,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таълим</w:t>
      </w:r>
      <w:r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r w:rsidR="001A3D17"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="001A3D17"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="001A3D17"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="001A3D17"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ро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кушодани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сурат</w:t>
      </w:r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депозит</w:t>
      </w:r>
      <w:r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реквизит</w:t>
      </w:r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бонк</w:t>
      </w:r>
      <w:r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ра</w:t>
      </w:r>
      <w:r>
        <w:rPr>
          <w:rFonts w:ascii="Times New Roman Tj" w:hAnsi="Times New Roman Tj" w:cs="Courier New"/>
          <w:sz w:val="34"/>
          <w:szCs w:val="34"/>
        </w:rPr>
        <w:t>қ</w:t>
      </w:r>
      <w:r w:rsidR="001A3D17" w:rsidRPr="00715940">
        <w:rPr>
          <w:rFonts w:ascii="Times New Roman Tj" w:hAnsi="Times New Roman Tj" w:cs="Courier New"/>
          <w:sz w:val="34"/>
          <w:szCs w:val="34"/>
        </w:rPr>
        <w:t>ами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сурат</w:t>
      </w:r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исоб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мў</w:t>
      </w:r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лати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амали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пасандоз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сурат</w:t>
      </w:r>
      <w:r>
        <w:rPr>
          <w:rFonts w:ascii="Times New Roman Tj" w:hAnsi="Times New Roman Tj" w:cs="Courier New"/>
          <w:sz w:val="34"/>
          <w:szCs w:val="34"/>
        </w:rPr>
        <w:t>ҳ</w:t>
      </w:r>
      <w:r w:rsidR="001A3D17"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шахсии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гирандаи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нафа</w:t>
      </w:r>
      <w:r>
        <w:rPr>
          <w:rFonts w:ascii="Times New Roman Tj" w:hAnsi="Times New Roman Tj" w:cs="Courier New"/>
          <w:sz w:val="34"/>
          <w:szCs w:val="34"/>
        </w:rPr>
        <w:t>қ</w:t>
      </w:r>
      <w:r w:rsidR="001A3D17"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ворид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ого</w:t>
      </w:r>
      <w:r>
        <w:rPr>
          <w:rFonts w:ascii="Times New Roman Tj" w:hAnsi="Times New Roman Tj" w:cs="Courier New"/>
          <w:sz w:val="34"/>
          <w:szCs w:val="34"/>
        </w:rPr>
        <w:t>ҳ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1A3D17" w:rsidRPr="00715940">
        <w:rPr>
          <w:rFonts w:ascii="Times New Roman Tj" w:hAnsi="Times New Roman Tj" w:cs="Courier New"/>
          <w:sz w:val="34"/>
          <w:szCs w:val="34"/>
        </w:rPr>
        <w:t>менамояд</w:t>
      </w:r>
      <w:proofErr w:type="spellEnd"/>
      <w:r w:rsidR="001A3D17"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lastRenderedPageBreak/>
        <w:t xml:space="preserve">13.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армо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беволидайн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(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ятимони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якка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)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воридшуда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тартиби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арраргардида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шарти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фоизнок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гузошта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14.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ангоми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гузаронидани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як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дигар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удуди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ум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То</w:t>
      </w:r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икистон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асноди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авии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ў ба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алли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нави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ойгиршавии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гузаронида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мутаалли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аблан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кушодашуда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гузаронида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15.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масъул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таъмини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пештара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вазифадор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мебошад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гузаронидани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дигар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хабардор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намояд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Асноди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авии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бошад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аз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айд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бароварда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воситаи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ўро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      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алли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дигар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ойгирбуда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баладикунанда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аи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ин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ал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дастрас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Назоратро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ворид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гардидани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таълимие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он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ойгир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шудааст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амал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менамояд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16.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Баъд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хатми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сил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вале на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пештар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расидани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синни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16-солаг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гирифтани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ҷҷ</w:t>
      </w:r>
      <w:r w:rsidRPr="00715940">
        <w:rPr>
          <w:rFonts w:ascii="Times New Roman Tj" w:hAnsi="Times New Roman Tj" w:cs="Courier New"/>
          <w:sz w:val="34"/>
          <w:szCs w:val="34"/>
        </w:rPr>
        <w:t>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тасди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кунандаи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шахсият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ятими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бекас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волидайн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румшудаи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таъминоти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пурраи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давлат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арордошта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доранд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депозитиашон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давраи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будубош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уншударо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гиранд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узури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ониби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омоти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васояту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ваколатдодашуда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ан</w:t>
      </w:r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ом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дода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17.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ягон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сабаб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пеш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лат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айди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баровардани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(ба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писархонд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ё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духтархонд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гирифтан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айра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) то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хатми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расидан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то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lastRenderedPageBreak/>
        <w:t>синни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16-солаг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инти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атъ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мегардад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ў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тартиби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умумии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арраршуда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мегирад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Дар ин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маврид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уншуда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proofErr w:type="gram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 дар</w:t>
      </w:r>
      <w:proofErr w:type="gram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ниго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дошта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баъди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расидан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синни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16-солаг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ба ў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18.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асоси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ҷҷ</w:t>
      </w:r>
      <w:r w:rsidRPr="00715940">
        <w:rPr>
          <w:rFonts w:ascii="Times New Roman Tj" w:hAnsi="Times New Roman Tj" w:cs="Courier New"/>
          <w:sz w:val="34"/>
          <w:szCs w:val="34"/>
        </w:rPr>
        <w:t>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тасди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кунандаи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шахсияти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ў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бе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боздошти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фоиз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хизматрасонии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мегирад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19.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Инти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саробон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ятими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бекас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proofErr w:type="gram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 аз</w:t>
      </w:r>
      <w:proofErr w:type="gram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волидайн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он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рўи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тартиби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онунгузории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ум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То</w:t>
      </w:r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икистон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арраргардида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амал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20.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инти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оли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он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Бонк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рўйхати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гирандагони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саробон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тартиб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дода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Рўйхат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мазкур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армо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ани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лати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то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санаи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25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исобот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маълумот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йир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ёфтани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(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абул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кардан ё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)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теъдоди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кўдаконе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васиашон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(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парасторашон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)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мебошад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ба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супорида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то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санаи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25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исобот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йир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наёфтани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теъдоди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ойдошта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низ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вазифадор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аст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то ин сана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аро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ого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намояд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Маълумот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йир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ёфтани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рўйхат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аз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умла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теъдоди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пештараи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имзои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бар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сарму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осиби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тасди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карда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 w:cs="Courier New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21.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сади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сари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т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атъ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намудани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пардохти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шудан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саробон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мавриди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рафтани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ё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фавти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ў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ро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барияти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мазкур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дадор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мебошад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мў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лати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на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дертар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пан</w:t>
      </w:r>
      <w:r w:rsidR="00B41300">
        <w:rPr>
          <w:rFonts w:ascii="Times New Roman Tj" w:hAnsi="Times New Roman Tj" w:cs="Courier New"/>
          <w:sz w:val="34"/>
          <w:szCs w:val="34"/>
        </w:rPr>
        <w:t>ҷ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рўз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оми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lastRenderedPageBreak/>
        <w:t>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оид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сана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сабаб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айд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баровардани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хабар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ди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ад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>.</w:t>
      </w:r>
    </w:p>
    <w:p w:rsidR="001A3D17" w:rsidRPr="00715940" w:rsidRDefault="001A3D17" w:rsidP="001A3D1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 Tj" w:hAnsi="Times New Roman Tj"/>
          <w:sz w:val="34"/>
          <w:szCs w:val="34"/>
        </w:rPr>
      </w:pPr>
      <w:r w:rsidRPr="00715940">
        <w:rPr>
          <w:rFonts w:ascii="Times New Roman Tj" w:hAnsi="Times New Roman Tj" w:cs="Courier New"/>
          <w:sz w:val="34"/>
          <w:szCs w:val="34"/>
        </w:rPr>
        <w:t xml:space="preserve">22.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фавти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ятими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бекас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ё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кўдаки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аз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парастории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волидайн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румшуда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муассисаи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таълим</w:t>
      </w:r>
      <w:r w:rsidR="00B41300">
        <w:rPr>
          <w:rFonts w:ascii="Times New Roman Tj" w:hAnsi="Times New Roman Tj" w:cs="Courier New"/>
          <w:sz w:val="34"/>
          <w:szCs w:val="34"/>
        </w:rPr>
        <w:t>ӣ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инчунин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набудани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шахсоне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ки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тиб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онунгузории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ум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урии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То</w:t>
      </w:r>
      <w:r w:rsidR="00B41300">
        <w:rPr>
          <w:rFonts w:ascii="Times New Roman Tj" w:hAnsi="Times New Roman Tj" w:cs="Courier New"/>
          <w:sz w:val="34"/>
          <w:szCs w:val="34"/>
        </w:rPr>
        <w:t>ҷ</w:t>
      </w:r>
      <w:r w:rsidRPr="00715940">
        <w:rPr>
          <w:rFonts w:ascii="Times New Roman Tj" w:hAnsi="Times New Roman Tj" w:cs="Courier New"/>
          <w:sz w:val="34"/>
          <w:szCs w:val="34"/>
        </w:rPr>
        <w:t>икистон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барои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гирифтани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нафа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дар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депозитии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ў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ғ</w:t>
      </w:r>
      <w:r w:rsidRPr="00715940">
        <w:rPr>
          <w:rFonts w:ascii="Times New Roman Tj" w:hAnsi="Times New Roman Tj" w:cs="Courier New"/>
          <w:sz w:val="34"/>
          <w:szCs w:val="34"/>
        </w:rPr>
        <w:t>уншуда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доранд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, ин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гуна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мабла</w:t>
      </w:r>
      <w:r w:rsidR="00B41300">
        <w:rPr>
          <w:rFonts w:ascii="Times New Roman Tj" w:hAnsi="Times New Roman Tj" w:cs="Courier New"/>
          <w:sz w:val="34"/>
          <w:szCs w:val="34"/>
        </w:rPr>
        <w:t>ғҳ</w:t>
      </w:r>
      <w:r w:rsidRPr="00715940">
        <w:rPr>
          <w:rFonts w:ascii="Times New Roman Tj" w:hAnsi="Times New Roman Tj" w:cs="Courier New"/>
          <w:sz w:val="34"/>
          <w:szCs w:val="34"/>
        </w:rPr>
        <w:t>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тартиби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му</w:t>
      </w:r>
      <w:r w:rsidR="00B41300">
        <w:rPr>
          <w:rFonts w:ascii="Times New Roman Tj" w:hAnsi="Times New Roman Tj" w:cs="Courier New"/>
          <w:sz w:val="34"/>
          <w:szCs w:val="34"/>
        </w:rPr>
        <w:t>қ</w:t>
      </w:r>
      <w:r w:rsidRPr="00715940">
        <w:rPr>
          <w:rFonts w:ascii="Times New Roman Tj" w:hAnsi="Times New Roman Tj" w:cs="Courier New"/>
          <w:sz w:val="34"/>
          <w:szCs w:val="34"/>
        </w:rPr>
        <w:t>арраршуда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ба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сурат</w:t>
      </w:r>
      <w:r w:rsidR="00B41300">
        <w:rPr>
          <w:rFonts w:ascii="Times New Roman Tj" w:hAnsi="Times New Roman Tj" w:cs="Courier New"/>
          <w:sz w:val="34"/>
          <w:szCs w:val="34"/>
        </w:rPr>
        <w:t>ҳ</w:t>
      </w:r>
      <w:r w:rsidRPr="00715940">
        <w:rPr>
          <w:rFonts w:ascii="Times New Roman Tj" w:hAnsi="Times New Roman Tj" w:cs="Courier New"/>
          <w:sz w:val="34"/>
          <w:szCs w:val="34"/>
        </w:rPr>
        <w:t>исоби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ма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оми ваколатдори давлат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ӣ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 xml:space="preserve"> оид ба таъминоти нафа</w:t>
      </w:r>
      <w:r w:rsidR="00B41300">
        <w:rPr>
          <w:rFonts w:ascii="Times New Roman Tj" w:hAnsi="Times New Roman Tj" w:cs="Courier New"/>
          <w:sz w:val="34"/>
          <w:szCs w:val="34"/>
          <w:lang w:val="tg-Cyrl-TJ"/>
        </w:rPr>
        <w:t>қ</w:t>
      </w:r>
      <w:r w:rsidRPr="00715940">
        <w:rPr>
          <w:rFonts w:ascii="Times New Roman Tj" w:hAnsi="Times New Roman Tj" w:cs="Courier New"/>
          <w:sz w:val="34"/>
          <w:szCs w:val="34"/>
          <w:lang w:val="tg-Cyrl-TJ"/>
        </w:rPr>
        <w:t>а</w:t>
      </w:r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бозпас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баргардонида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 </w:t>
      </w:r>
      <w:proofErr w:type="spellStart"/>
      <w:r w:rsidRPr="00715940">
        <w:rPr>
          <w:rFonts w:ascii="Times New Roman Tj" w:hAnsi="Times New Roman Tj" w:cs="Courier New"/>
          <w:sz w:val="34"/>
          <w:szCs w:val="34"/>
        </w:rPr>
        <w:t>мешаванд</w:t>
      </w:r>
      <w:proofErr w:type="spellEnd"/>
      <w:r w:rsidRPr="00715940">
        <w:rPr>
          <w:rFonts w:ascii="Times New Roman Tj" w:hAnsi="Times New Roman Tj" w:cs="Courier New"/>
          <w:sz w:val="34"/>
          <w:szCs w:val="34"/>
        </w:rPr>
        <w:t xml:space="preserve">. </w:t>
      </w: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Pr="00715940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1A3D17" w:rsidRDefault="001A3D17" w:rsidP="001A3D17">
      <w:pPr>
        <w:spacing w:after="0" w:line="240" w:lineRule="auto"/>
        <w:rPr>
          <w:rFonts w:ascii="Times New Roman Tj" w:hAnsi="Times New Roman Tj"/>
          <w:sz w:val="34"/>
          <w:szCs w:val="34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D17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3D17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1355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1300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C54C-A696-43BC-BC39-5F11004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4</cp:revision>
  <dcterms:created xsi:type="dcterms:W3CDTF">2017-04-08T06:25:00Z</dcterms:created>
  <dcterms:modified xsi:type="dcterms:W3CDTF">2017-04-18T17:51:00Z</dcterms:modified>
</cp:coreProperties>
</file>