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A5" w:rsidRPr="00962961" w:rsidRDefault="00ED66A5" w:rsidP="00ED66A5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6228F8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6228F8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ED66A5" w:rsidRPr="00962961" w:rsidRDefault="00ED66A5" w:rsidP="00ED66A5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ED66A5" w:rsidRPr="00962961" w:rsidRDefault="00ED66A5" w:rsidP="00ED66A5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ED66A5" w:rsidRPr="00962961" w:rsidRDefault="00ED66A5" w:rsidP="00ED66A5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6228F8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сат</w:t>
      </w:r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</w:t>
      </w:r>
      <w:r w:rsidR="006228F8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ол</w:t>
      </w:r>
      <w:r w:rsidR="006228F8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ме</w:t>
      </w:r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6228F8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ташкилот</w:t>
      </w:r>
      <w:r w:rsidR="006228F8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b/>
          <w:sz w:val="32"/>
          <w:szCs w:val="32"/>
        </w:rPr>
        <w:t>бу</w:t>
      </w:r>
      <w:r w:rsidR="006228F8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ет</w:t>
      </w:r>
      <w:r w:rsidR="006228F8">
        <w:rPr>
          <w:rFonts w:ascii="Times New Roman Tj" w:hAnsi="Times New Roman Tj"/>
          <w:b/>
          <w:sz w:val="32"/>
          <w:szCs w:val="32"/>
        </w:rPr>
        <w:t>ӣ</w:t>
      </w:r>
      <w:r w:rsidRPr="00962961">
        <w:rPr>
          <w:rFonts w:ascii="Times New Roman Tj" w:hAnsi="Times New Roman Tj"/>
          <w:b/>
          <w:sz w:val="32"/>
          <w:szCs w:val="32"/>
        </w:rPr>
        <w:t>,нафа</w:t>
      </w:r>
      <w:r w:rsidR="006228F8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</w:t>
      </w:r>
      <w:proofErr w:type="spellEnd"/>
      <w:proofErr w:type="gram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стипендия»</w:t>
      </w:r>
    </w:p>
    <w:p w:rsidR="00ED66A5" w:rsidRPr="00962961" w:rsidRDefault="00ED66A5" w:rsidP="00ED66A5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асоси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Кодекси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авасмандкунии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                             ф а р м о н  м е д и 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апрели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66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                  20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6228F8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Аз 1 апрели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айати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шахсии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атор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барикунандаи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6228F8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суд, прокуратура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иловапул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рутбаи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тахассус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соби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рутбаи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мувофи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замима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№№1-39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3. Аз 1 апрели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6228F8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зерин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амзамон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кишоварзии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bookmarkStart w:id="0" w:name="_GoBack"/>
      <w:r w:rsidR="006228F8">
        <w:rPr>
          <w:rFonts w:ascii="Times New Roman Tj" w:hAnsi="Times New Roman Tj"/>
          <w:sz w:val="32"/>
          <w:szCs w:val="32"/>
        </w:rPr>
        <w:t>ҷ</w:t>
      </w:r>
      <w:bookmarkEnd w:id="0"/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педагогии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директорон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муовинони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директорони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мактаб-интернат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хона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кўдакон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барони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томактаб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- 50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маориф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амзамон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мураббиёни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томактаб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муаллимони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синф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lastRenderedPageBreak/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аввалияи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тиббию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санитар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60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4. Аз 1 апрели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аспирант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дониш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ўёни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- 50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5. Аз 1 апрели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ухўрон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истифодаи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баландкунандаи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боз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6. Аз 1 апрели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банди 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занони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бесаробон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яккаву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7. Аз 1 апрели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ни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рўи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синну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6228F8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180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6228F8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8.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чора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андешад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оида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боз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банд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6228F8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оида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бартараф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номутаносибии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аввалияи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тиббию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санитариро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6228F8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оида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6228F8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истиро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товони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зарари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саломат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талаб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мекунанд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6228F8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як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оя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6228F8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9.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эътибор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дониста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lastRenderedPageBreak/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                         2 октябри соли 1996, №ФП-583 "Дар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суд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";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                         4 сентябри соли 1997, №ФП-810 "Дар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Сарвазири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муовини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аввал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муовинони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Сарвазири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Дастго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";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августи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2002, №АП-825;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замимаи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№3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марти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2002, №ФП-1035 "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тагйироту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"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аз 6 январи соли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2000, №ФП-84 "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Масъала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Шўрои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адлияи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";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банди 15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Низомнома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"Дар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рутба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тахассус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иловапул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",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18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августи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2003, №ФП-1122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6228F8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5 ноябри соли 2004, №1404 "Дар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системаи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шахсони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айати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катор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барикунандаи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</w:t>
      </w:r>
      <w:r w:rsidR="006228F8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6228F8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6228F8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>".</w:t>
      </w:r>
    </w:p>
    <w:p w:rsidR="00ED66A5" w:rsidRPr="00962961" w:rsidRDefault="00ED66A5" w:rsidP="00ED66A5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10. Дар банди 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аз 6 январи соли 2003, №ФП-961 "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Масъала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дастго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Шўрои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амнияти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6228F8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"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калима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"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шарт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6228F8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"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хори</w:t>
      </w:r>
      <w:r w:rsidR="006228F8">
        <w:rPr>
          <w:rFonts w:ascii="Times New Roman Tj" w:hAnsi="Times New Roman Tj"/>
          <w:sz w:val="32"/>
          <w:szCs w:val="32"/>
        </w:rPr>
        <w:t>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D66A5" w:rsidRPr="00C14124" w:rsidRDefault="00ED66A5" w:rsidP="00ED66A5">
      <w:pPr>
        <w:ind w:firstLine="540"/>
        <w:jc w:val="both"/>
        <w:rPr>
          <w:rFonts w:ascii="Times New Roman Tj" w:hAnsi="Times New Roman Tj"/>
          <w:sz w:val="28"/>
          <w:szCs w:val="28"/>
        </w:rPr>
      </w:pPr>
    </w:p>
    <w:p w:rsidR="00ED66A5" w:rsidRPr="00962961" w:rsidRDefault="00ED66A5" w:rsidP="00ED66A5">
      <w:pPr>
        <w:ind w:firstLine="540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ED66A5" w:rsidRPr="00962961" w:rsidRDefault="006228F8" w:rsidP="00ED66A5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ED66A5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ED66A5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ED66A5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ED66A5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ED66A5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ED66A5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Э. </w:t>
      </w:r>
      <w:proofErr w:type="spellStart"/>
      <w:r w:rsidR="00ED66A5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ED66A5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</w:p>
    <w:p w:rsidR="00ED66A5" w:rsidRPr="00C14124" w:rsidRDefault="00ED66A5" w:rsidP="00ED66A5">
      <w:pPr>
        <w:jc w:val="center"/>
        <w:rPr>
          <w:rFonts w:ascii="Times New Roman Tj" w:hAnsi="Times New Roman Tj"/>
          <w:sz w:val="28"/>
          <w:szCs w:val="28"/>
        </w:rPr>
      </w:pPr>
    </w:p>
    <w:p w:rsidR="00ED66A5" w:rsidRPr="00962961" w:rsidRDefault="00ED66A5" w:rsidP="00ED66A5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   ш. Душанбе</w:t>
      </w:r>
    </w:p>
    <w:p w:rsidR="00ED66A5" w:rsidRPr="00962961" w:rsidRDefault="00ED66A5" w:rsidP="00ED66A5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аз  20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марти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соли 2006, №1716</w:t>
      </w:r>
    </w:p>
    <w:p w:rsidR="00ED66A5" w:rsidRPr="00962961" w:rsidRDefault="00ED66A5" w:rsidP="00ED66A5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6A5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228F8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D66A5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E51BB-5858-46A0-A6E7-48605BF7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2017-04-08T07:15:00Z</dcterms:created>
  <dcterms:modified xsi:type="dcterms:W3CDTF">2017-04-19T19:25:00Z</dcterms:modified>
</cp:coreProperties>
</file>