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DB" w:rsidRPr="00962961" w:rsidRDefault="00D219DB" w:rsidP="00D219DB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219DB" w:rsidRPr="00962961" w:rsidRDefault="00D219DB" w:rsidP="00D219DB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3850D5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3850D5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3850D5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D219DB" w:rsidRPr="00962961" w:rsidRDefault="00D219DB" w:rsidP="00D219DB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D219DB" w:rsidRPr="00962961" w:rsidRDefault="00D219DB" w:rsidP="00D219DB">
      <w:pPr>
        <w:jc w:val="center"/>
        <w:rPr>
          <w:rFonts w:ascii="Times New Roman Tj" w:hAnsi="Times New Roman Tj"/>
          <w:sz w:val="32"/>
          <w:szCs w:val="32"/>
        </w:rPr>
      </w:pPr>
    </w:p>
    <w:p w:rsidR="00D219DB" w:rsidRPr="00962961" w:rsidRDefault="00D219DB" w:rsidP="00D219DB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тадбир</w:t>
      </w:r>
      <w:r w:rsidR="003850D5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</w:t>
      </w:r>
      <w:r w:rsidR="003850D5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сат</w:t>
      </w:r>
      <w:r w:rsidR="003850D5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и</w:t>
      </w:r>
      <w:r w:rsidR="003850D5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тимоии</w:t>
      </w:r>
      <w:proofErr w:type="spellEnd"/>
    </w:p>
    <w:p w:rsidR="00D219DB" w:rsidRPr="00962961" w:rsidRDefault="00D219DB" w:rsidP="00D219DB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3850D5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ол</w:t>
      </w:r>
      <w:r w:rsidR="003850D5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ме</w:t>
      </w:r>
      <w:r w:rsidR="003850D5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3850D5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маоши</w:t>
      </w:r>
      <w:proofErr w:type="spellEnd"/>
    </w:p>
    <w:p w:rsidR="00D219DB" w:rsidRPr="00962961" w:rsidRDefault="00D219DB" w:rsidP="00D219DB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муассисаю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ташкилот</w:t>
      </w:r>
      <w:r w:rsidR="003850D5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</w:p>
    <w:p w:rsidR="00D219DB" w:rsidRPr="00962961" w:rsidRDefault="00D219DB" w:rsidP="00D219DB">
      <w:pPr>
        <w:jc w:val="center"/>
        <w:rPr>
          <w:rFonts w:ascii="Times New Roman Tj" w:hAnsi="Times New Roman Tj"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бу</w:t>
      </w:r>
      <w:r w:rsidR="003850D5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ет</w:t>
      </w:r>
      <w:r w:rsidR="003850D5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нафа</w:t>
      </w:r>
      <w:r w:rsidR="003850D5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стипендия</w:t>
      </w:r>
      <w:r w:rsidRPr="00962961">
        <w:rPr>
          <w:rFonts w:ascii="Times New Roman Tj" w:hAnsi="Times New Roman Tj"/>
          <w:sz w:val="32"/>
          <w:szCs w:val="32"/>
        </w:rPr>
        <w:t>»</w:t>
      </w:r>
    </w:p>
    <w:p w:rsidR="00D219DB" w:rsidRPr="00962961" w:rsidRDefault="00D219DB" w:rsidP="00D219DB">
      <w:pPr>
        <w:jc w:val="center"/>
        <w:rPr>
          <w:rFonts w:ascii="Times New Roman Tj" w:hAnsi="Times New Roman Tj"/>
          <w:sz w:val="32"/>
          <w:szCs w:val="32"/>
        </w:rPr>
      </w:pP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тар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вазъи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авасмандии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баланд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бардоштани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меди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1. Аз 1 январи соли 2005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хизматчиёни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иловапули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рутба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тахассусии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27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Ќонуни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аз  13  ноябри  соли  1998  "Дар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"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татби</w:t>
      </w:r>
      <w:r w:rsidR="003850D5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гардонида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2. Аз 1 январи соли 2005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тамоми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тисодиёти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12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850D5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3. Аз 1 январи соли 2005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ставка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аз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850D5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зерин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- 100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- 100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- 100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мураббиёни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томактаб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- 70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муаллимони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синф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ибтидоии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(1-4)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мактаб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70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муаллимони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синф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5-11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мактаб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- 60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маориф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="003850D5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хизматчиёни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окимият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идоракунии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окимияти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хизматчиёни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шахсони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lastRenderedPageBreak/>
        <w:t>ҳ</w:t>
      </w:r>
      <w:r w:rsidRPr="00962961">
        <w:rPr>
          <w:rFonts w:ascii="Times New Roman Tj" w:hAnsi="Times New Roman Tj"/>
          <w:sz w:val="32"/>
          <w:szCs w:val="32"/>
        </w:rPr>
        <w:t>айати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атор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барикунандаи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дохил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3850D5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- 50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айати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хо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агидор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ёрирасони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тамоми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ташкилоту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- 100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4. Аз 1 январи соли 2005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ахўрон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рўи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давра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зерини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баромаданашон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истифодаи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баландкунандаи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он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ибтидо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он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шудааст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то соли 1994-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86,5;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1994 -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79,8;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1995 -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30,2;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1996 -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9,4;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1997 -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5,6;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1998 -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3,0;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1999-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2,4;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2000 -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1,79;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2001 -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1,65;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2002 -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1,55;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2003 -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1,28;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соли 2004 -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1,03.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5. Аз 1 январи соли 2005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апули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махсус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назди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3 то 6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рўи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синну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дарназардошти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апули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6. Аз 1 январи соли 2005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рўи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синну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850D5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120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850D5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7. Аз 1 январи соли 2005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дониш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ўёни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касб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гурў</w:t>
      </w:r>
      <w:r w:rsidR="003850D5">
        <w:rPr>
          <w:rFonts w:ascii="Times New Roman Tj" w:hAnsi="Times New Roman Tj"/>
          <w:sz w:val="32"/>
          <w:szCs w:val="32"/>
        </w:rPr>
        <w:t>ҳҳ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хонандагон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мутаносибан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баландшавии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8.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чора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андешад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барон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корношоямии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мува</w:t>
      </w:r>
      <w:r w:rsidR="003850D5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истиро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товони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зарари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саломат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r w:rsidRPr="00962961">
        <w:rPr>
          <w:rFonts w:ascii="Times New Roman Tj" w:hAnsi="Times New Roman Tj"/>
          <w:sz w:val="32"/>
          <w:szCs w:val="32"/>
        </w:rPr>
        <w:lastRenderedPageBreak/>
        <w:t xml:space="preserve">дар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олат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ало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аманданд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3850D5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азнав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дарназардошти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банд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4, 5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6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Низомномаи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махсус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Шўрои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19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марти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1994, №115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3850D5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шудааст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мутоби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банди 5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850D5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йирот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ворид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gramStart"/>
      <w:r w:rsidRPr="00962961">
        <w:rPr>
          <w:rFonts w:ascii="Times New Roman Tj" w:hAnsi="Times New Roman Tj"/>
          <w:sz w:val="32"/>
          <w:szCs w:val="32"/>
        </w:rPr>
        <w:t xml:space="preserve">дар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убронпул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оила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камбизоат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бинобар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баланд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нархи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увваи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</w:t>
      </w:r>
      <w:r w:rsidR="003850D5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гази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таби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22 миллион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убронпул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оила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камбизоате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кўдаконашон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мактаб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менамоянд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10 миллион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.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шумораи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хонандагон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25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он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убронпул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чорабини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шударо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исло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маориф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идома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чорабини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татби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исло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962961">
        <w:rPr>
          <w:rFonts w:ascii="Times New Roman Tj" w:hAnsi="Times New Roman Tj"/>
          <w:sz w:val="32"/>
          <w:szCs w:val="32"/>
        </w:rPr>
        <w:t xml:space="preserve">дар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идораи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дарназардошти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ихтисори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на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камтар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шумораи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мав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тамоми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="003850D5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мактаб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3850D5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.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Татби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исло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отро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1 январи соли 2005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D219DB" w:rsidRPr="00962961" w:rsidRDefault="00D219DB" w:rsidP="00D219D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962961">
        <w:rPr>
          <w:rFonts w:ascii="Times New Roman Tj" w:hAnsi="Times New Roman Tj"/>
          <w:sz w:val="32"/>
          <w:szCs w:val="32"/>
        </w:rPr>
        <w:t>соли  2005</w:t>
      </w:r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850D5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заруриро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850D5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</w:t>
      </w:r>
      <w:r w:rsidR="003850D5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татби</w:t>
      </w:r>
      <w:r w:rsidR="003850D5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</w:t>
      </w:r>
      <w:r w:rsidR="003850D5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D219DB" w:rsidRPr="00962961" w:rsidRDefault="00D219DB" w:rsidP="00D219DB">
      <w:pPr>
        <w:jc w:val="both"/>
        <w:rPr>
          <w:rFonts w:ascii="Times New Roman Tj" w:hAnsi="Times New Roman Tj"/>
          <w:sz w:val="32"/>
          <w:szCs w:val="32"/>
        </w:rPr>
      </w:pPr>
    </w:p>
    <w:p w:rsidR="00D219DB" w:rsidRPr="00962961" w:rsidRDefault="00D219DB" w:rsidP="00D219DB">
      <w:pPr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</w:p>
    <w:p w:rsidR="00D219DB" w:rsidRPr="00962961" w:rsidRDefault="003850D5" w:rsidP="00D219DB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>
        <w:rPr>
          <w:rFonts w:ascii="Times New Roman Tj" w:hAnsi="Times New Roman Tj"/>
          <w:b/>
          <w:sz w:val="32"/>
          <w:szCs w:val="32"/>
        </w:rPr>
        <w:t>Ҷ</w:t>
      </w:r>
      <w:r w:rsidR="00D219DB" w:rsidRPr="00962961">
        <w:rPr>
          <w:rFonts w:ascii="Times New Roman Tj" w:hAnsi="Times New Roman Tj"/>
          <w:b/>
          <w:sz w:val="32"/>
          <w:szCs w:val="32"/>
        </w:rPr>
        <w:t>ум</w:t>
      </w:r>
      <w:r>
        <w:rPr>
          <w:rFonts w:ascii="Times New Roman Tj" w:hAnsi="Times New Roman Tj"/>
          <w:b/>
          <w:sz w:val="32"/>
          <w:szCs w:val="32"/>
        </w:rPr>
        <w:t>ҳ</w:t>
      </w:r>
      <w:r w:rsidR="00D219DB"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D219DB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D219DB" w:rsidRPr="00962961">
        <w:rPr>
          <w:rFonts w:ascii="Times New Roman Tj" w:hAnsi="Times New Roman Tj"/>
          <w:b/>
          <w:sz w:val="32"/>
          <w:szCs w:val="32"/>
        </w:rPr>
        <w:t>То</w:t>
      </w:r>
      <w:bookmarkStart w:id="0" w:name="_GoBack"/>
      <w:r>
        <w:rPr>
          <w:rFonts w:ascii="Times New Roman Tj" w:hAnsi="Times New Roman Tj"/>
          <w:b/>
          <w:sz w:val="32"/>
          <w:szCs w:val="32"/>
        </w:rPr>
        <w:t>ҷ</w:t>
      </w:r>
      <w:bookmarkEnd w:id="0"/>
      <w:r w:rsidR="00D219DB"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="00D219DB"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      Э. </w:t>
      </w:r>
      <w:proofErr w:type="spellStart"/>
      <w:r w:rsidR="00D219DB" w:rsidRPr="00962961">
        <w:rPr>
          <w:rFonts w:ascii="Times New Roman Tj" w:hAnsi="Times New Roman Tj"/>
          <w:b/>
          <w:sz w:val="32"/>
          <w:szCs w:val="32"/>
        </w:rPr>
        <w:t>Ра</w:t>
      </w:r>
      <w:r>
        <w:rPr>
          <w:rFonts w:ascii="Times New Roman Tj" w:hAnsi="Times New Roman Tj"/>
          <w:b/>
          <w:sz w:val="32"/>
          <w:szCs w:val="32"/>
        </w:rPr>
        <w:t>ҳ</w:t>
      </w:r>
      <w:r w:rsidR="00D219DB" w:rsidRPr="00962961">
        <w:rPr>
          <w:rFonts w:ascii="Times New Roman Tj" w:hAnsi="Times New Roman Tj"/>
          <w:b/>
          <w:sz w:val="32"/>
          <w:szCs w:val="32"/>
        </w:rPr>
        <w:t>монов</w:t>
      </w:r>
      <w:proofErr w:type="spellEnd"/>
    </w:p>
    <w:p w:rsidR="00D219DB" w:rsidRPr="00962961" w:rsidRDefault="00D219DB" w:rsidP="00D219DB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</w:t>
      </w:r>
    </w:p>
    <w:p w:rsidR="00D219DB" w:rsidRPr="00962961" w:rsidRDefault="00D219DB" w:rsidP="00D219DB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    ш. Душанбе</w:t>
      </w:r>
    </w:p>
    <w:p w:rsidR="00D219DB" w:rsidRPr="00962961" w:rsidRDefault="00D219DB" w:rsidP="00D219DB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аз 4 ноябри соли 2004, №1403</w:t>
      </w:r>
    </w:p>
    <w:p w:rsidR="00D219DB" w:rsidRPr="00962961" w:rsidRDefault="00D219DB" w:rsidP="00D219DB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9DB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D5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A783F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0A69"/>
    <w:rsid w:val="00771BCA"/>
    <w:rsid w:val="00776282"/>
    <w:rsid w:val="00777A65"/>
    <w:rsid w:val="00780975"/>
    <w:rsid w:val="00782A34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19DB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74147-6407-44AE-BC9C-F707AE6F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5</cp:revision>
  <dcterms:created xsi:type="dcterms:W3CDTF">2017-04-08T07:11:00Z</dcterms:created>
  <dcterms:modified xsi:type="dcterms:W3CDTF">2017-04-19T18:57:00Z</dcterms:modified>
</cp:coreProperties>
</file>