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Tj" w:hAnsi="Times New Roman Tj" w:cs="Arial"/>
          <w:sz w:val="28"/>
          <w:szCs w:val="28"/>
          <w:lang w:val="ru-RU"/>
        </w:rPr>
      </w:pPr>
      <w:r w:rsidRPr="007C710C">
        <w:rPr>
          <w:rFonts w:ascii="Times New Roman Tj" w:hAnsi="Times New Roman Tj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-461645</wp:posOffset>
            </wp:positionV>
            <wp:extent cx="765810" cy="767715"/>
            <wp:effectExtent l="19050" t="0" r="0" b="0"/>
            <wp:wrapSquare wrapText="right"/>
            <wp:docPr id="5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 Tj" w:hAnsi="Times New Roman Tj"/>
          <w:color w:val="000000"/>
          <w:lang w:val="ru-RU"/>
        </w:rPr>
      </w:pPr>
    </w:p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</w:pP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Ф А Р М О Н И</w:t>
      </w:r>
      <w:r w:rsidRPr="007C710C">
        <w:rPr>
          <w:rFonts w:ascii="Times New Roman Tj" w:hAnsi="Times New Roman Tj"/>
          <w:b/>
          <w:bCs/>
          <w:color w:val="000000"/>
          <w:sz w:val="30"/>
          <w:szCs w:val="30"/>
          <w:lang w:val="tg-Cyrl-TJ"/>
        </w:rPr>
        <w:br/>
      </w: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 xml:space="preserve">ПРЕЗИДЕНТИ </w:t>
      </w:r>
      <w:r w:rsidR="00D263C8">
        <w:rPr>
          <w:rStyle w:val="a4"/>
          <w:rFonts w:ascii="Times New Roman Tj" w:eastAsia="MS Mincho" w:hAnsi="Times New Roman Tj" w:cs="MS Mincho"/>
          <w:color w:val="000000"/>
          <w:sz w:val="30"/>
          <w:szCs w:val="30"/>
          <w:lang w:val="tg-Cyrl-TJ"/>
        </w:rPr>
        <w:t>Ҷ</w:t>
      </w: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УМ</w:t>
      </w:r>
      <w:r w:rsidRPr="007C710C">
        <w:rPr>
          <w:rStyle w:val="a4"/>
          <w:color w:val="000000"/>
          <w:sz w:val="30"/>
          <w:szCs w:val="30"/>
          <w:lang w:val="tg-Cyrl-TJ"/>
        </w:rPr>
        <w:t>Ҳ</w:t>
      </w: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УРИИ ТО</w:t>
      </w:r>
      <w:r w:rsidR="00D263C8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Ҷ</w:t>
      </w: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ИКИСТОН</w:t>
      </w:r>
    </w:p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</w:pP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 xml:space="preserve">У К А З </w:t>
      </w:r>
    </w:p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 Tj" w:hAnsi="Times New Roman Tj"/>
          <w:color w:val="000000"/>
          <w:sz w:val="30"/>
          <w:szCs w:val="30"/>
          <w:lang w:val="ru-RU"/>
        </w:rPr>
      </w:pPr>
      <w:r w:rsidRPr="007C710C">
        <w:rPr>
          <w:rStyle w:val="a4"/>
          <w:rFonts w:ascii="Times New Roman Tj" w:hAnsi="Times New Roman Tj"/>
          <w:color w:val="000000"/>
          <w:sz w:val="30"/>
          <w:szCs w:val="30"/>
          <w:lang w:val="tg-Cyrl-TJ"/>
        </w:rPr>
        <w:t>ПРЕЗИДЕНТА РЕСПУБЛИКИ ТАДЖИКИСТАН</w:t>
      </w:r>
    </w:p>
    <w:p w:rsidR="001D71D3" w:rsidRPr="007C710C" w:rsidRDefault="001D71D3" w:rsidP="001D7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 Tj" w:hAnsi="Times New Roman Tj"/>
          <w:color w:val="000000"/>
          <w:sz w:val="30"/>
          <w:szCs w:val="30"/>
          <w:lang w:val="ru-RU"/>
        </w:rPr>
      </w:pPr>
    </w:p>
    <w:p w:rsidR="001D71D3" w:rsidRPr="007C710C" w:rsidRDefault="001D71D3" w:rsidP="001D71D3">
      <w:pPr>
        <w:pStyle w:val="a3"/>
        <w:shd w:val="clear" w:color="auto" w:fill="FCFCFC"/>
        <w:spacing w:before="0" w:beforeAutospacing="0" w:after="0" w:afterAutospacing="0"/>
        <w:jc w:val="center"/>
        <w:textAlignment w:val="top"/>
        <w:rPr>
          <w:rFonts w:ascii="Times New Roman Tj" w:hAnsi="Times New Roman Tj" w:cs="Arial"/>
          <w:sz w:val="28"/>
          <w:szCs w:val="28"/>
          <w:lang w:val="ru-RU"/>
        </w:rPr>
      </w:pPr>
      <w:r w:rsidRPr="007C710C">
        <w:rPr>
          <w:rFonts w:ascii="Times New Roman Tj" w:hAnsi="Times New Roman Tj" w:cs="Arial"/>
          <w:sz w:val="28"/>
          <w:szCs w:val="28"/>
          <w:lang w:val="tg-Cyrl-TJ"/>
        </w:rPr>
        <w:t>Дар бораи тадбир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вият бахшидани сат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 xml:space="preserve">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ифзи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br/>
        <w:t>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тимоии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ол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 xml:space="preserve"> ва зиёд намудани маоши амалкунандаи</w:t>
      </w: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jc w:val="center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7C710C">
        <w:rPr>
          <w:rFonts w:ascii="Times New Roman Tj" w:hAnsi="Times New Roman Tj" w:cs="Arial"/>
          <w:sz w:val="28"/>
          <w:szCs w:val="28"/>
          <w:lang w:val="tg-Cyrl-TJ"/>
        </w:rPr>
        <w:t xml:space="preserve"> вазифавии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хизматчиёни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 xml:space="preserve">, кормандони муассисаю </w:t>
      </w: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jc w:val="center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7C710C">
        <w:rPr>
          <w:rFonts w:ascii="Times New Roman Tj" w:hAnsi="Times New Roman Tj" w:cs="Arial"/>
          <w:sz w:val="28"/>
          <w:szCs w:val="28"/>
          <w:lang w:val="tg-Cyrl-TJ"/>
        </w:rPr>
        <w:t>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ои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ет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,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андозаи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7C710C">
        <w:rPr>
          <w:rFonts w:ascii="Times New Roman Tj" w:hAnsi="Times New Roman Tj" w:cs="Arial"/>
          <w:sz w:val="28"/>
          <w:szCs w:val="28"/>
          <w:lang w:val="tg-Cyrl-TJ"/>
        </w:rPr>
        <w:t>а ва стипендия</w:t>
      </w: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jc w:val="center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1D71D3">
        <w:rPr>
          <w:rFonts w:ascii="Times New Roman Tj" w:hAnsi="Times New Roman Tj" w:cs="Arial"/>
          <w:sz w:val="28"/>
          <w:szCs w:val="28"/>
          <w:lang w:val="tg-Cyrl-TJ"/>
        </w:rPr>
        <w:t>Бо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сади баланд бардоштани сат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 некўа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вол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ва таъмини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ифзи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тимоии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ол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, мутоби</w:t>
      </w:r>
      <w:r w:rsidRPr="001D71D3">
        <w:rPr>
          <w:rFonts w:ascii="Arial" w:hAnsi="Arial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 моддаи 103 Кодекси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нати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икистон, моддаи 16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онуни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икистон «Дар бораи таъмини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аи ша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рвандони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икистон», моддаи 12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онуни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икистон «Дар бораи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ои су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уртав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ва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» ва моддаи 49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онуни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икистон «Дар бораи таъмини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ои хизматчиёни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арб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» ф а р м о н   м е д и 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а м:</w:t>
      </w: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1D71D3">
        <w:rPr>
          <w:rFonts w:ascii="Times New Roman Tj" w:hAnsi="Times New Roman Tj" w:cs="Arial"/>
          <w:sz w:val="28"/>
          <w:szCs w:val="28"/>
          <w:lang w:val="tg-Cyrl-TJ"/>
        </w:rPr>
        <w:t>1. Аз 1 июли соли 2016:</w:t>
      </w:r>
    </w:p>
    <w:p w:rsidR="001D71D3" w:rsidRPr="001D71D3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-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адди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али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нат барои тамоми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ои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тисодиву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тимоии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ур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60 фоиз зиёд карда шуда, андозаи он 400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дар як мо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 xml:space="preserve">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1D71D3">
        <w:rPr>
          <w:rFonts w:ascii="Times New Roman Tj" w:hAnsi="Times New Roman Tj" w:cs="Arial"/>
          <w:sz w:val="28"/>
          <w:szCs w:val="28"/>
          <w:lang w:val="tg-Cyrl-TJ"/>
        </w:rPr>
        <w:t>аррар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кормандони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томактаб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умум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дигар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аи маориф,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 (ба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айр аз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 ва 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ое, ки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наташон аз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нати хизматчиёни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зиёд мебошад), ба андозаи 20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кормандони муассисаю 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илм, фар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анг ва кормандони дигар муассисаю 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ое,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мешаванд, ба андозаи 20 фоиз ва муассисаю 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ое, ки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наташон ба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нати хизматчиёни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баробар карда шудааст, ба андозаи 15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барони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ибтидоии касб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мувофи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ан ба шумораи умумии хонандагон ба маоши вазифавии 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барони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умум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баробар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нати муаллимони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ибтидоии касб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нати муаллимони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умум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аз рўи тахассус ва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 баробар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кормандони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аи тандуруст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мешаванд, ба андозаи 20 фоиз зиёд ва 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lastRenderedPageBreak/>
        <w:t>андозаи маоши заминав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 намудани маоши вазифавии кормандони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аи тандуруст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 230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аррар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кормандони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ифзи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тимо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хона-интернат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 барои пиронсолону маъюбон ва истиро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атго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 осоишго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 барои соби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адорони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анги Бузурги Ватан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ва дигар гурў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ба 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 баробаркардашуда,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мешаванд, ба андозаи 25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кормандони 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барикунанда ва мутахассисони со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во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еии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тисодиёт,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мешаванд, ба андозаи 15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андозаи маоши заминав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амчун асоси коэффитсиент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тариф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барои хизматчиёни давлатии мансаб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маъмурии категория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ол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якум, дуюм, сеюм, чоруми хизмати давлатии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идораи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роияи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аллии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окимияти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худидоракунии ша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рак ва де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от ба андозаи 470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барои мансаб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маъмурии категория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пан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ум, шашум,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афтуми хизмати давлатии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зикргардида ба андозаи 520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аррар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- маоши вазифавии кормандони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айати техник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хизматрасони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идораи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суд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прокуратура,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омоти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ифзи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роияи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аллии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окимияти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худидоракунии ша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рак ва де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от, ки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гузор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мешаванд, ба андозаи 15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вазифавии (меъёр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тариф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) хизматчиёни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,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айати шахсии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атор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барикунандаи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кор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дохил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прокуратура ва дигар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омоти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ифзи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 андозаи 15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маоши заминав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 намудани коэффитсиент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 барои рутба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арбии хизматчиёни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махсуси кормандони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омоти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ифзи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аз рутбаи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атор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то лейтенант ба андозаи 520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аз рутбаи лейтенанти калон то генерали артиш ба андозаи 470 сомон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аррар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стипендия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амалкунандаи дониш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ўёни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та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силоти ол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миёнаи касб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(ба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айр аз курсант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олии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Академияи Вазорати кор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дохилии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икистон) ба андозаи 30 фоиз зиёд карда шаванд;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- андозаи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адди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ал ва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адди ни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 аз рўи синну сол ва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аи заминав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20 фоиз зиёд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натии амалкунандаи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агироне, ки кор намекунанд, ба андозаи 30 фоизи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адди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али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 аз рўи синну сол зиёд карда шаванд;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андозаи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тимо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аз рўи синну сол (ба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айр аз модароне, ки да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фарзанд ва зиёда аз он таваллуд намуда, он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оро то синни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аштсолаг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тарбия намудаанд), барои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рум шудан аз саробон ва аз рўи маъюб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барои маъюбони гурў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II ва III (ба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айр аз маъюбони гурў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 II аз овони кўдак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), ки мутоби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онуни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икистон «Дар бораи таъмини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аи 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lastRenderedPageBreak/>
        <w:t>ша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рвандони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икистон» таъйин гардидаанд, 60 фоизи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адди 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али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 аз рўи синну сол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аррар карда шавад;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-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исми су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уртавии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су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уртав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 андозаи 5 фоиз индексатсия карда шавад.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2. </w:t>
      </w:r>
      <w:r w:rsidR="00DC7E8E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укумати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икистон ва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омоти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роияи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аллии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окимияти давлат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: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дар амал татби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намудани Фармони мазкурро дар соли 2016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дар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ети давлатии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икистон барои фонди музди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ва таъминоти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 пешбинишуда,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ба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ияи озод ва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роиши барзиёди даромади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урияв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ма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алл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су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уртаи 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тимо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а, инчунин аз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исоби сарфаи дигар модда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харо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от ва мабла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махсуси муассиса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 ва ташкилот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бу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ет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таъмин намоянд;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>- дар му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лати як мо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арор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худро бо Фармони мазкур мутоби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намоянд;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-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исобкунии музди миёнаи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барои пардохти рухсати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кумакпул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дар ва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ти аз кор рафтан, кумакпул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барои корношоямии мува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дигар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ое, ки ба пардохти музди миёнаи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ало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аманд (ба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ғ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айр аз нафа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а), мувофи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оида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ои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исобкунии музди миёнаи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барои пардохти рухсати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, кумакпул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дар ва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ти аз кор рафтан, кумакпул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барои корношоямии мува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ва дигар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олат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ое, ки ба пардохти музди миёнаи ме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нат ало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аманданд, ки бо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арори </w:t>
      </w:r>
      <w:bookmarkStart w:id="0" w:name="_GoBack"/>
      <w:r w:rsidR="00DC7E8E">
        <w:rPr>
          <w:rFonts w:ascii="Times New Roman Tj" w:hAnsi="Times New Roman Tj" w:cs="Arial"/>
          <w:sz w:val="28"/>
          <w:szCs w:val="28"/>
          <w:lang w:val="tg-Cyrl-TJ"/>
        </w:rPr>
        <w:t>Ҳ</w:t>
      </w:r>
      <w:bookmarkEnd w:id="0"/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укумати 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ҳ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урии То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ҷ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>икистон аз 1 июни соли 2007, №313 тасди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қ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шудаанд, амал</w:t>
      </w:r>
      <w:r w:rsidR="00D263C8">
        <w:rPr>
          <w:rFonts w:ascii="Times New Roman Tj" w:hAnsi="Times New Roman Tj" w:cs="Arial"/>
          <w:sz w:val="28"/>
          <w:szCs w:val="28"/>
          <w:lang w:val="tg-Cyrl-TJ"/>
        </w:rPr>
        <w:t>ӣ</w:t>
      </w: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намоянд.</w:t>
      </w:r>
    </w:p>
    <w:p w:rsidR="001D71D3" w:rsidRPr="00D263C8" w:rsidRDefault="001D71D3" w:rsidP="001D71D3">
      <w:pPr>
        <w:pStyle w:val="a3"/>
        <w:shd w:val="clear" w:color="auto" w:fill="FCFCFC"/>
        <w:spacing w:before="0" w:beforeAutospacing="0" w:after="0" w:afterAutospacing="0"/>
        <w:ind w:firstLine="547"/>
        <w:jc w:val="both"/>
        <w:textAlignment w:val="top"/>
        <w:rPr>
          <w:rFonts w:ascii="Times New Roman Tj" w:hAnsi="Times New Roman Tj" w:cs="Arial"/>
          <w:sz w:val="28"/>
          <w:szCs w:val="28"/>
          <w:lang w:val="tg-Cyrl-TJ"/>
        </w:rPr>
      </w:pPr>
    </w:p>
    <w:p w:rsidR="001D71D3" w:rsidRPr="007C710C" w:rsidRDefault="001D71D3" w:rsidP="001D71D3">
      <w:pPr>
        <w:pStyle w:val="a3"/>
        <w:shd w:val="clear" w:color="auto" w:fill="FCFCFC"/>
        <w:spacing w:before="0" w:beforeAutospacing="0" w:after="173" w:afterAutospacing="0" w:line="202" w:lineRule="atLeast"/>
        <w:jc w:val="both"/>
        <w:textAlignment w:val="top"/>
        <w:rPr>
          <w:rFonts w:ascii="Times New Roman Tj" w:hAnsi="Times New Roman Tj" w:cs="Arial"/>
          <w:sz w:val="28"/>
          <w:szCs w:val="28"/>
          <w:lang w:val="ru-RU"/>
        </w:rPr>
      </w:pPr>
      <w:r w:rsidRPr="00D263C8">
        <w:rPr>
          <w:rFonts w:ascii="Times New Roman Tj" w:hAnsi="Times New Roman Tj" w:cs="Arial"/>
          <w:sz w:val="28"/>
          <w:szCs w:val="28"/>
          <w:lang w:val="tg-Cyrl-TJ"/>
        </w:rPr>
        <w:t xml:space="preserve">                 </w:t>
      </w:r>
      <w:proofErr w:type="spellStart"/>
      <w:r w:rsidRPr="007C710C">
        <w:rPr>
          <w:rFonts w:ascii="Times New Roman Tj" w:hAnsi="Times New Roman Tj" w:cs="Arial"/>
          <w:sz w:val="28"/>
          <w:szCs w:val="28"/>
          <w:lang w:val="ru-RU"/>
        </w:rPr>
        <w:t>Президенти</w:t>
      </w:r>
      <w:proofErr w:type="spellEnd"/>
      <w:r w:rsidRPr="007C710C">
        <w:rPr>
          <w:rFonts w:ascii="Times New Roman Tj" w:hAnsi="Times New Roman Tj" w:cs="Arial"/>
          <w:sz w:val="28"/>
          <w:szCs w:val="28"/>
          <w:lang w:val="ru-RU"/>
        </w:rPr>
        <w:br/>
        <w:t xml:space="preserve">       </w:t>
      </w:r>
      <w:proofErr w:type="spellStart"/>
      <w:r w:rsidR="00D263C8">
        <w:rPr>
          <w:rFonts w:ascii="Times New Roman Tj" w:hAnsi="Times New Roman Tj" w:cs="Arial"/>
          <w:sz w:val="28"/>
          <w:szCs w:val="28"/>
          <w:lang w:val="ru-RU"/>
        </w:rPr>
        <w:t>Ҷ</w:t>
      </w:r>
      <w:r w:rsidRPr="007C710C">
        <w:rPr>
          <w:rFonts w:ascii="Times New Roman Tj" w:hAnsi="Times New Roman Tj" w:cs="Arial"/>
          <w:sz w:val="28"/>
          <w:szCs w:val="28"/>
          <w:lang w:val="ru-RU"/>
        </w:rPr>
        <w:t>ум</w:t>
      </w:r>
      <w:r w:rsidR="00D263C8">
        <w:rPr>
          <w:rFonts w:ascii="Times New Roman Tj" w:hAnsi="Times New Roman Tj" w:cs="Arial"/>
          <w:sz w:val="28"/>
          <w:szCs w:val="28"/>
          <w:lang w:val="ru-RU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ru-RU"/>
        </w:rPr>
        <w:t>урии</w:t>
      </w:r>
      <w:proofErr w:type="spellEnd"/>
      <w:r w:rsidRPr="007C710C">
        <w:rPr>
          <w:rFonts w:ascii="Times New Roman Tj" w:hAnsi="Times New Roman Tj" w:cs="Arial"/>
          <w:sz w:val="28"/>
          <w:szCs w:val="28"/>
          <w:lang w:val="ru-RU"/>
        </w:rPr>
        <w:t xml:space="preserve"> </w:t>
      </w:r>
      <w:proofErr w:type="spellStart"/>
      <w:r w:rsidRPr="007C710C">
        <w:rPr>
          <w:rFonts w:ascii="Times New Roman Tj" w:hAnsi="Times New Roman Tj" w:cs="Arial"/>
          <w:sz w:val="28"/>
          <w:szCs w:val="28"/>
          <w:lang w:val="ru-RU"/>
        </w:rPr>
        <w:t>То</w:t>
      </w:r>
      <w:r w:rsidR="00D263C8">
        <w:rPr>
          <w:rFonts w:ascii="Times New Roman Tj" w:hAnsi="Times New Roman Tj" w:cs="Arial"/>
          <w:sz w:val="28"/>
          <w:szCs w:val="28"/>
          <w:lang w:val="ru-RU"/>
        </w:rPr>
        <w:t>ҷ</w:t>
      </w:r>
      <w:r w:rsidRPr="007C710C">
        <w:rPr>
          <w:rFonts w:ascii="Times New Roman Tj" w:hAnsi="Times New Roman Tj" w:cs="Arial"/>
          <w:sz w:val="28"/>
          <w:szCs w:val="28"/>
          <w:lang w:val="ru-RU"/>
        </w:rPr>
        <w:t>икистон</w:t>
      </w:r>
      <w:proofErr w:type="spellEnd"/>
      <w:r w:rsidRPr="007C710C">
        <w:rPr>
          <w:rFonts w:ascii="Times New Roman Tj" w:hAnsi="Times New Roman Tj" w:cs="Arial"/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7C710C">
        <w:rPr>
          <w:rFonts w:ascii="Times New Roman Tj" w:hAnsi="Times New Roman Tj" w:cs="Arial"/>
          <w:sz w:val="28"/>
          <w:szCs w:val="28"/>
          <w:lang w:val="ru-RU"/>
        </w:rPr>
        <w:t>Эмомал</w:t>
      </w:r>
      <w:r w:rsidR="00D263C8">
        <w:rPr>
          <w:rFonts w:ascii="Times New Roman Tj" w:hAnsi="Times New Roman Tj" w:cs="Arial"/>
          <w:sz w:val="28"/>
          <w:szCs w:val="28"/>
          <w:lang w:val="ru-RU"/>
        </w:rPr>
        <w:t>ӣ</w:t>
      </w:r>
      <w:proofErr w:type="spellEnd"/>
      <w:r w:rsidRPr="007C710C">
        <w:rPr>
          <w:rFonts w:ascii="Times New Roman Tj" w:hAnsi="Times New Roman Tj" w:cs="Arial"/>
          <w:sz w:val="28"/>
          <w:szCs w:val="28"/>
          <w:lang w:val="ru-RU"/>
        </w:rPr>
        <w:t xml:space="preserve"> </w:t>
      </w:r>
      <w:proofErr w:type="spellStart"/>
      <w:r w:rsidRPr="007C710C">
        <w:rPr>
          <w:rFonts w:ascii="Times New Roman Tj" w:hAnsi="Times New Roman Tj" w:cs="Arial"/>
          <w:sz w:val="28"/>
          <w:szCs w:val="28"/>
          <w:lang w:val="ru-RU"/>
        </w:rPr>
        <w:t>Ра</w:t>
      </w:r>
      <w:r w:rsidR="00D263C8">
        <w:rPr>
          <w:rFonts w:ascii="Times New Roman Tj" w:hAnsi="Times New Roman Tj" w:cs="Arial"/>
          <w:sz w:val="28"/>
          <w:szCs w:val="28"/>
          <w:lang w:val="ru-RU"/>
        </w:rPr>
        <w:t>ҳ</w:t>
      </w:r>
      <w:r w:rsidRPr="007C710C">
        <w:rPr>
          <w:rFonts w:ascii="Times New Roman Tj" w:hAnsi="Times New Roman Tj" w:cs="Arial"/>
          <w:sz w:val="28"/>
          <w:szCs w:val="28"/>
          <w:lang w:val="ru-RU"/>
        </w:rPr>
        <w:t>мон</w:t>
      </w:r>
      <w:proofErr w:type="spellEnd"/>
    </w:p>
    <w:p w:rsidR="001D71D3" w:rsidRPr="007C710C" w:rsidRDefault="001D71D3" w:rsidP="001D71D3">
      <w:pPr>
        <w:pStyle w:val="a3"/>
        <w:shd w:val="clear" w:color="auto" w:fill="FCFCFC"/>
        <w:spacing w:before="0" w:beforeAutospacing="0" w:after="173" w:afterAutospacing="0" w:line="202" w:lineRule="atLeast"/>
        <w:textAlignment w:val="top"/>
        <w:rPr>
          <w:rFonts w:ascii="Times New Roman Tj" w:hAnsi="Times New Roman Tj" w:cs="Arial"/>
          <w:sz w:val="28"/>
          <w:szCs w:val="28"/>
          <w:lang w:val="ru-RU"/>
        </w:rPr>
      </w:pPr>
      <w:r w:rsidRPr="007C710C">
        <w:rPr>
          <w:rFonts w:ascii="Times New Roman Tj" w:hAnsi="Times New Roman Tj" w:cs="Arial"/>
          <w:sz w:val="28"/>
          <w:szCs w:val="28"/>
          <w:lang w:val="ru-RU"/>
        </w:rPr>
        <w:t xml:space="preserve">  </w:t>
      </w:r>
    </w:p>
    <w:p w:rsidR="001D71D3" w:rsidRPr="007C710C" w:rsidRDefault="001D71D3" w:rsidP="001D71D3">
      <w:pPr>
        <w:pStyle w:val="a3"/>
        <w:shd w:val="clear" w:color="auto" w:fill="FCFCFC"/>
        <w:spacing w:before="0" w:beforeAutospacing="0" w:after="173" w:afterAutospacing="0" w:line="202" w:lineRule="atLeast"/>
        <w:textAlignment w:val="top"/>
        <w:rPr>
          <w:rFonts w:ascii="Times New Roman Tj" w:hAnsi="Times New Roman Tj" w:cs="Arial"/>
          <w:sz w:val="28"/>
          <w:szCs w:val="28"/>
          <w:lang w:val="ru-RU"/>
        </w:rPr>
      </w:pPr>
      <w:r w:rsidRPr="007C710C">
        <w:rPr>
          <w:rFonts w:ascii="Times New Roman Tj" w:hAnsi="Times New Roman Tj" w:cs="Arial"/>
          <w:sz w:val="28"/>
          <w:szCs w:val="28"/>
          <w:lang w:val="ru-RU"/>
        </w:rPr>
        <w:t xml:space="preserve">               ш. Душанбе</w:t>
      </w:r>
      <w:r w:rsidRPr="007C710C">
        <w:rPr>
          <w:rFonts w:ascii="Times New Roman Tj" w:hAnsi="Times New Roman Tj" w:cs="Arial"/>
          <w:sz w:val="28"/>
          <w:szCs w:val="28"/>
          <w:lang w:val="ru-RU"/>
        </w:rPr>
        <w:br/>
        <w:t xml:space="preserve">       6 июни соли 2016, №697</w:t>
      </w:r>
    </w:p>
    <w:p w:rsidR="001D71D3" w:rsidRPr="007C710C" w:rsidRDefault="001D71D3" w:rsidP="001D71D3">
      <w:pPr>
        <w:jc w:val="both"/>
        <w:rPr>
          <w:rFonts w:ascii="Times New Roman Tj" w:hAnsi="Times New Roman Tj"/>
          <w:sz w:val="28"/>
          <w:szCs w:val="28"/>
          <w:lang w:val="ru-RU"/>
        </w:rPr>
      </w:pPr>
    </w:p>
    <w:p w:rsidR="001D71D3" w:rsidRPr="007C710C" w:rsidRDefault="001D71D3" w:rsidP="001D71D3">
      <w:pPr>
        <w:jc w:val="both"/>
        <w:rPr>
          <w:rFonts w:ascii="Times New Roman Tj" w:hAnsi="Times New Roman Tj"/>
          <w:sz w:val="28"/>
          <w:szCs w:val="28"/>
          <w:lang w:val="ru-RU"/>
        </w:rPr>
      </w:pPr>
    </w:p>
    <w:p w:rsidR="001D71D3" w:rsidRPr="007C710C" w:rsidRDefault="001D71D3" w:rsidP="001D71D3">
      <w:pPr>
        <w:jc w:val="both"/>
        <w:rPr>
          <w:rFonts w:ascii="Times New Roman Tj" w:hAnsi="Times New Roman Tj"/>
          <w:sz w:val="28"/>
          <w:szCs w:val="28"/>
          <w:lang w:val="ru-RU"/>
        </w:rPr>
      </w:pPr>
    </w:p>
    <w:p w:rsidR="001D71D3" w:rsidRPr="007C710C" w:rsidRDefault="001D71D3" w:rsidP="001D71D3">
      <w:pPr>
        <w:jc w:val="both"/>
        <w:rPr>
          <w:rFonts w:ascii="Times New Roman Tj" w:hAnsi="Times New Roman Tj"/>
          <w:sz w:val="28"/>
          <w:szCs w:val="28"/>
          <w:lang w:val="ru-RU"/>
        </w:rPr>
      </w:pPr>
    </w:p>
    <w:p w:rsidR="001D71D3" w:rsidRPr="007C710C" w:rsidRDefault="001D71D3" w:rsidP="001D71D3">
      <w:pPr>
        <w:jc w:val="both"/>
        <w:rPr>
          <w:rFonts w:ascii="Times New Roman Tj" w:hAnsi="Times New Roman Tj"/>
          <w:sz w:val="28"/>
          <w:szCs w:val="28"/>
          <w:lang w:val="ru-RU"/>
        </w:rPr>
      </w:pPr>
    </w:p>
    <w:p w:rsidR="00777A65" w:rsidRPr="001D71D3" w:rsidRDefault="00777A65">
      <w:pPr>
        <w:rPr>
          <w:lang w:val="ru-RU"/>
        </w:rPr>
      </w:pPr>
    </w:p>
    <w:sectPr w:rsidR="00777A65" w:rsidRPr="001D71D3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1D3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3FB8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D71D3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263C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8E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4CB8-EDC8-475A-BC9B-130F3CE1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D71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2017-04-08T07:37:00Z</dcterms:created>
  <dcterms:modified xsi:type="dcterms:W3CDTF">2017-04-19T19:01:00Z</dcterms:modified>
</cp:coreProperties>
</file>