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2C" w:rsidRPr="0055535C" w:rsidRDefault="0055535C" w:rsidP="00BA512C">
      <w:pPr>
        <w:pStyle w:val="2"/>
        <w:rPr>
          <w:rFonts w:eastAsia="Times New Roman"/>
          <w:color w:val="auto"/>
          <w:sz w:val="28"/>
          <w:szCs w:val="28"/>
        </w:rPr>
      </w:pPr>
      <w:r w:rsidRPr="0055535C">
        <w:rPr>
          <w:rFonts w:eastAsia="Times New Roman"/>
          <w:color w:val="auto"/>
          <w:sz w:val="28"/>
          <w:szCs w:val="28"/>
        </w:rPr>
        <w:t>Қ</w:t>
      </w:r>
      <w:r w:rsidR="00BA512C" w:rsidRPr="0055535C">
        <w:rPr>
          <w:rFonts w:eastAsia="Times New Roman"/>
          <w:color w:val="auto"/>
          <w:sz w:val="28"/>
          <w:szCs w:val="28"/>
        </w:rPr>
        <w:t xml:space="preserve">ОНУНИ </w:t>
      </w:r>
      <w:r w:rsidRPr="0055535C">
        <w:rPr>
          <w:rFonts w:eastAsia="Times New Roman"/>
          <w:color w:val="auto"/>
          <w:sz w:val="28"/>
          <w:szCs w:val="28"/>
        </w:rPr>
        <w:t>Ҷ</w:t>
      </w:r>
      <w:r w:rsidR="00BA512C" w:rsidRPr="0055535C">
        <w:rPr>
          <w:rFonts w:eastAsia="Times New Roman"/>
          <w:color w:val="auto"/>
          <w:sz w:val="28"/>
          <w:szCs w:val="28"/>
        </w:rPr>
        <w:t>УМ</w:t>
      </w:r>
      <w:r w:rsidRPr="0055535C">
        <w:rPr>
          <w:rFonts w:eastAsia="Times New Roman"/>
          <w:color w:val="auto"/>
          <w:sz w:val="28"/>
          <w:szCs w:val="28"/>
        </w:rPr>
        <w:t>Ҳ</w:t>
      </w:r>
      <w:r w:rsidR="00BA512C" w:rsidRPr="0055535C">
        <w:rPr>
          <w:rFonts w:eastAsia="Times New Roman"/>
          <w:color w:val="auto"/>
          <w:sz w:val="28"/>
          <w:szCs w:val="28"/>
        </w:rPr>
        <w:t>УРИИ ТО</w:t>
      </w:r>
      <w:r w:rsidRPr="0055535C">
        <w:rPr>
          <w:rFonts w:eastAsia="Times New Roman"/>
          <w:color w:val="auto"/>
          <w:sz w:val="28"/>
          <w:szCs w:val="28"/>
        </w:rPr>
        <w:t>Ҷ</w:t>
      </w:r>
      <w:r w:rsidR="00BA512C" w:rsidRPr="0055535C">
        <w:rPr>
          <w:rFonts w:eastAsia="Times New Roman"/>
          <w:color w:val="auto"/>
          <w:sz w:val="28"/>
          <w:szCs w:val="28"/>
        </w:rPr>
        <w:t xml:space="preserve">ИКИСТОН </w:t>
      </w:r>
    </w:p>
    <w:p w:rsidR="00BA512C" w:rsidRPr="0055535C" w:rsidRDefault="00BA512C" w:rsidP="00BA512C">
      <w:pPr>
        <w:pStyle w:val="dname"/>
        <w:rPr>
          <w:color w:val="auto"/>
          <w:sz w:val="28"/>
          <w:szCs w:val="28"/>
          <w:lang w:val="ru-RU"/>
        </w:rPr>
      </w:pPr>
      <w:r w:rsidRPr="0055535C">
        <w:rPr>
          <w:color w:val="auto"/>
          <w:sz w:val="28"/>
          <w:szCs w:val="28"/>
          <w:lang w:val="ru-RU"/>
        </w:rPr>
        <w:t>ДАР БОРАИ СУ</w:t>
      </w:r>
      <w:r w:rsidR="0055535C" w:rsidRPr="0055535C">
        <w:rPr>
          <w:color w:val="auto"/>
          <w:sz w:val="28"/>
          <w:szCs w:val="28"/>
          <w:lang w:val="ru-RU"/>
        </w:rPr>
        <w:t>Ғ</w:t>
      </w:r>
      <w:r w:rsidRPr="0055535C">
        <w:rPr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color w:val="auto"/>
          <w:sz w:val="28"/>
          <w:szCs w:val="28"/>
          <w:lang w:val="ru-RU"/>
        </w:rPr>
        <w:t>Ҳ</w:t>
      </w:r>
      <w:r w:rsidRPr="0055535C">
        <w:rPr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color w:val="auto"/>
          <w:sz w:val="28"/>
          <w:szCs w:val="28"/>
          <w:lang w:val="ru-RU"/>
        </w:rPr>
        <w:t>Қ</w:t>
      </w:r>
      <w:r w:rsidRPr="0055535C">
        <w:rPr>
          <w:color w:val="auto"/>
          <w:sz w:val="28"/>
          <w:szCs w:val="28"/>
          <w:lang w:val="ru-RU"/>
        </w:rPr>
        <w:t>АВ</w:t>
      </w:r>
      <w:r w:rsidR="0055535C" w:rsidRPr="0055535C">
        <w:rPr>
          <w:color w:val="auto"/>
          <w:sz w:val="28"/>
          <w:szCs w:val="28"/>
          <w:lang w:val="ru-RU"/>
        </w:rPr>
        <w:t>Ӣ</w:t>
      </w:r>
    </w:p>
    <w:p w:rsidR="00BA512C" w:rsidRPr="0055535C" w:rsidRDefault="0055535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онуни мазкур асос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ои танзими давлатии су</w:t>
      </w:r>
      <w:r w:rsidRPr="0055535C">
        <w:rPr>
          <w:sz w:val="28"/>
          <w:szCs w:val="28"/>
          <w:lang w:val="ru-RU"/>
        </w:rPr>
        <w:t>ғ</w:t>
      </w:r>
      <w:r w:rsidR="00BA512C" w:rsidRPr="0055535C">
        <w:rPr>
          <w:sz w:val="28"/>
          <w:szCs w:val="28"/>
          <w:lang w:val="ru-RU"/>
        </w:rPr>
        <w:t xml:space="preserve">уртаи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атмии нафа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 xml:space="preserve">авиро дар 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ум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урии То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икистон му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аррар намуда, муносибат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 xml:space="preserve">ои 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амъиятиро дар низоми су</w:t>
      </w:r>
      <w:r w:rsidRPr="0055535C">
        <w:rPr>
          <w:sz w:val="28"/>
          <w:szCs w:val="28"/>
          <w:lang w:val="ru-RU"/>
        </w:rPr>
        <w:t>ғ</w:t>
      </w:r>
      <w:r w:rsidR="00BA512C" w:rsidRPr="0055535C">
        <w:rPr>
          <w:sz w:val="28"/>
          <w:szCs w:val="28"/>
          <w:lang w:val="ru-RU"/>
        </w:rPr>
        <w:t xml:space="preserve">уртаи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атмии нафа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ав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 xml:space="preserve"> ба танзим медарорад, инчунин вазъи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ии субъект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ои су</w:t>
      </w:r>
      <w:r w:rsidRPr="0055535C">
        <w:rPr>
          <w:sz w:val="28"/>
          <w:szCs w:val="28"/>
          <w:lang w:val="ru-RU"/>
        </w:rPr>
        <w:t>ғ</w:t>
      </w:r>
      <w:r w:rsidR="00BA512C" w:rsidRPr="0055535C">
        <w:rPr>
          <w:sz w:val="28"/>
          <w:szCs w:val="28"/>
          <w:lang w:val="ru-RU"/>
        </w:rPr>
        <w:t xml:space="preserve">уртаи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атмии нафа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ав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>, замина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ои пайдоиш ва тартиби татби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 xml:space="preserve">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у ў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дадори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ои он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 xml:space="preserve">о ва 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аво</w:t>
      </w:r>
      <w:bookmarkStart w:id="0" w:name="_GoBack"/>
      <w:bookmarkEnd w:id="0"/>
      <w:r w:rsidR="00BA512C" w:rsidRPr="0055535C">
        <w:rPr>
          <w:sz w:val="28"/>
          <w:szCs w:val="28"/>
          <w:lang w:val="ru-RU"/>
        </w:rPr>
        <w:t>бгарии субъект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ои су</w:t>
      </w:r>
      <w:r w:rsidRPr="0055535C">
        <w:rPr>
          <w:sz w:val="28"/>
          <w:szCs w:val="28"/>
          <w:lang w:val="ru-RU"/>
        </w:rPr>
        <w:t>ғ</w:t>
      </w:r>
      <w:r w:rsidR="00BA512C" w:rsidRPr="0055535C">
        <w:rPr>
          <w:sz w:val="28"/>
          <w:szCs w:val="28"/>
          <w:lang w:val="ru-RU"/>
        </w:rPr>
        <w:t xml:space="preserve">уртаи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атмии нафа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авиро муайян мекунад.</w:t>
      </w:r>
    </w:p>
    <w:p w:rsidR="00BA512C" w:rsidRPr="0055535C" w:rsidRDefault="00BA512C" w:rsidP="00BA512C">
      <w:pPr>
        <w:pStyle w:val="4"/>
        <w:rPr>
          <w:rFonts w:eastAsia="Times New Roman"/>
          <w:color w:val="auto"/>
          <w:sz w:val="28"/>
          <w:szCs w:val="28"/>
        </w:rPr>
      </w:pPr>
      <w:bookmarkStart w:id="1" w:name="A000000003"/>
      <w:bookmarkEnd w:id="1"/>
      <w:r w:rsidRPr="0055535C">
        <w:rPr>
          <w:rFonts w:eastAsia="Times New Roman"/>
          <w:color w:val="auto"/>
          <w:sz w:val="28"/>
          <w:szCs w:val="28"/>
        </w:rPr>
        <w:t>БОБИ 1. МУ</w:t>
      </w:r>
      <w:r w:rsidR="0055535C" w:rsidRPr="0055535C">
        <w:rPr>
          <w:rFonts w:eastAsia="Times New Roman"/>
          <w:color w:val="auto"/>
          <w:sz w:val="28"/>
          <w:szCs w:val="28"/>
        </w:rPr>
        <w:t>Қ</w:t>
      </w:r>
      <w:r w:rsidRPr="0055535C">
        <w:rPr>
          <w:rFonts w:eastAsia="Times New Roman"/>
          <w:color w:val="auto"/>
          <w:sz w:val="28"/>
          <w:szCs w:val="28"/>
        </w:rPr>
        <w:t>АРРАРОТИ УМУМ</w:t>
      </w:r>
      <w:r w:rsidR="0055535C" w:rsidRPr="0055535C">
        <w:rPr>
          <w:rFonts w:eastAsia="Times New Roman"/>
          <w:color w:val="auto"/>
          <w:sz w:val="28"/>
          <w:szCs w:val="28"/>
        </w:rPr>
        <w:t>Ӣ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</w:rPr>
      </w:pPr>
      <w:bookmarkStart w:id="2" w:name="A3RD0U2AZF"/>
      <w:bookmarkEnd w:id="2"/>
      <w:r w:rsidRPr="0055535C">
        <w:rPr>
          <w:rFonts w:eastAsia="Times New Roman"/>
          <w:color w:val="auto"/>
          <w:sz w:val="28"/>
          <w:szCs w:val="28"/>
        </w:rPr>
        <w:t>Моддаи 1. Маф</w:t>
      </w:r>
      <w:r w:rsidR="0055535C" w:rsidRPr="0055535C">
        <w:rPr>
          <w:rFonts w:eastAsia="Times New Roman"/>
          <w:color w:val="auto"/>
          <w:sz w:val="28"/>
          <w:szCs w:val="28"/>
        </w:rPr>
        <w:t>ҳ</w:t>
      </w:r>
      <w:r w:rsidRPr="0055535C">
        <w:rPr>
          <w:rFonts w:eastAsia="Times New Roman"/>
          <w:color w:val="auto"/>
          <w:sz w:val="28"/>
          <w:szCs w:val="28"/>
        </w:rPr>
        <w:t>ум</w:t>
      </w:r>
      <w:r w:rsidR="0055535C" w:rsidRPr="0055535C">
        <w:rPr>
          <w:rFonts w:eastAsia="Times New Roman"/>
          <w:color w:val="auto"/>
          <w:sz w:val="28"/>
          <w:szCs w:val="28"/>
        </w:rPr>
        <w:t>ҳ</w:t>
      </w:r>
      <w:r w:rsidRPr="0055535C">
        <w:rPr>
          <w:rFonts w:eastAsia="Times New Roman"/>
          <w:color w:val="auto"/>
          <w:sz w:val="28"/>
          <w:szCs w:val="28"/>
        </w:rPr>
        <w:t>ои асос</w:t>
      </w:r>
      <w:r w:rsidR="0055535C" w:rsidRPr="0055535C">
        <w:rPr>
          <w:rFonts w:eastAsia="Times New Roman"/>
          <w:color w:val="auto"/>
          <w:sz w:val="28"/>
          <w:szCs w:val="28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</w:rPr>
      </w:pPr>
      <w:r w:rsidRPr="0055535C">
        <w:rPr>
          <w:sz w:val="28"/>
          <w:szCs w:val="28"/>
          <w:lang w:val="ru-RU"/>
        </w:rPr>
        <w:t>Дар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онуни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мазкур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маф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асосии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зерин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истифода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мешаванд</w:t>
      </w:r>
      <w:r w:rsidRPr="0055535C">
        <w:rPr>
          <w:sz w:val="28"/>
          <w:szCs w:val="28"/>
        </w:rPr>
        <w:t>:</w:t>
      </w:r>
    </w:p>
    <w:p w:rsidR="00BA512C" w:rsidRPr="0055535C" w:rsidRDefault="00BA512C" w:rsidP="00BA512C">
      <w:pPr>
        <w:pStyle w:val="a4"/>
        <w:rPr>
          <w:sz w:val="28"/>
          <w:szCs w:val="28"/>
        </w:rPr>
      </w:pPr>
      <w:r w:rsidRPr="0055535C">
        <w:rPr>
          <w:sz w:val="28"/>
          <w:szCs w:val="28"/>
        </w:rPr>
        <w:t xml:space="preserve">- </w:t>
      </w:r>
      <w:proofErr w:type="gramStart"/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уртаи</w:t>
      </w:r>
      <w:proofErr w:type="gramEnd"/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- </w:t>
      </w:r>
      <w:r w:rsidRPr="0055535C">
        <w:rPr>
          <w:sz w:val="28"/>
          <w:szCs w:val="28"/>
          <w:lang w:val="ru-RU"/>
        </w:rPr>
        <w:t>шакли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танзими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давлатии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муносибат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, </w:t>
      </w:r>
      <w:r w:rsidRPr="0055535C">
        <w:rPr>
          <w:sz w:val="28"/>
          <w:szCs w:val="28"/>
          <w:lang w:val="ru-RU"/>
        </w:rPr>
        <w:t>ки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ба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ташкили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ба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исобгирии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пардохти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асос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ёфтааст</w:t>
      </w:r>
      <w:r w:rsidRPr="0055535C">
        <w:rPr>
          <w:sz w:val="28"/>
          <w:szCs w:val="28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</w:rPr>
      </w:pPr>
      <w:r w:rsidRPr="0055535C">
        <w:rPr>
          <w:sz w:val="28"/>
          <w:szCs w:val="28"/>
        </w:rPr>
        <w:t xml:space="preserve">- </w:t>
      </w:r>
      <w:proofErr w:type="gramStart"/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уброни</w:t>
      </w:r>
      <w:proofErr w:type="gramEnd"/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- </w:t>
      </w:r>
      <w:r w:rsidRPr="0055535C">
        <w:rPr>
          <w:sz w:val="28"/>
          <w:szCs w:val="28"/>
          <w:lang w:val="ru-RU"/>
        </w:rPr>
        <w:t>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рои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ў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дадори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оми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ваколатдори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давлатии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уртаи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дар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назди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шахси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дар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мавриди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фаро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расидани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олат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бо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ро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пардохт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тимо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</w:rPr>
      </w:pPr>
      <w:r w:rsidRPr="0055535C">
        <w:rPr>
          <w:sz w:val="28"/>
          <w:szCs w:val="28"/>
        </w:rPr>
        <w:t xml:space="preserve">- </w:t>
      </w:r>
      <w:proofErr w:type="gramStart"/>
      <w:r w:rsidRPr="0055535C">
        <w:rPr>
          <w:sz w:val="28"/>
          <w:szCs w:val="28"/>
          <w:lang w:val="ru-RU"/>
        </w:rPr>
        <w:t>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</w:t>
      </w:r>
      <w:proofErr w:type="gramEnd"/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уртаи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- </w:t>
      </w:r>
      <w:r w:rsidRPr="0055535C">
        <w:rPr>
          <w:sz w:val="28"/>
          <w:szCs w:val="28"/>
          <w:lang w:val="ru-RU"/>
        </w:rPr>
        <w:t>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ое</w:t>
      </w:r>
      <w:r w:rsidRPr="0055535C">
        <w:rPr>
          <w:sz w:val="28"/>
          <w:szCs w:val="28"/>
        </w:rPr>
        <w:t xml:space="preserve">, </w:t>
      </w:r>
      <w:r w:rsidRPr="0055535C">
        <w:rPr>
          <w:sz w:val="28"/>
          <w:szCs w:val="28"/>
          <w:lang w:val="ru-RU"/>
        </w:rPr>
        <w:t>ки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дар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идоракунии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оми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ваколатдори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давлатии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уртаи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арор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доранд</w:t>
      </w:r>
      <w:r w:rsidRPr="0055535C">
        <w:rPr>
          <w:sz w:val="28"/>
          <w:szCs w:val="28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</w:rPr>
      </w:pPr>
      <w:r w:rsidRPr="0055535C">
        <w:rPr>
          <w:sz w:val="28"/>
          <w:szCs w:val="28"/>
        </w:rPr>
        <w:t xml:space="preserve">- </w:t>
      </w:r>
      <w:proofErr w:type="gramStart"/>
      <w:r w:rsidRPr="0055535C">
        <w:rPr>
          <w:sz w:val="28"/>
          <w:szCs w:val="28"/>
          <w:lang w:val="ru-RU"/>
        </w:rPr>
        <w:t>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</w:t>
      </w:r>
      <w:proofErr w:type="gramEnd"/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муассисаи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</w:t>
      </w:r>
      <w:r w:rsidRPr="0055535C">
        <w:rPr>
          <w:sz w:val="28"/>
          <w:szCs w:val="28"/>
        </w:rPr>
        <w:t xml:space="preserve"> - </w:t>
      </w:r>
      <w:r w:rsidRPr="0055535C">
        <w:rPr>
          <w:sz w:val="28"/>
          <w:szCs w:val="28"/>
          <w:lang w:val="ru-RU"/>
        </w:rPr>
        <w:t>шакли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ташаккул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ва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сарфи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бо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сад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уртаи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аз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ониби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оми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ваколатдори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давлатии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уртаи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</w:rPr>
      </w:pPr>
      <w:r w:rsidRPr="0055535C">
        <w:rPr>
          <w:sz w:val="28"/>
          <w:szCs w:val="28"/>
        </w:rPr>
        <w:t xml:space="preserve">- </w:t>
      </w:r>
      <w:proofErr w:type="gramStart"/>
      <w:r w:rsidRPr="0055535C">
        <w:rPr>
          <w:sz w:val="28"/>
          <w:szCs w:val="28"/>
          <w:lang w:val="ru-RU"/>
        </w:rPr>
        <w:t>андўхти</w:t>
      </w:r>
      <w:proofErr w:type="gramEnd"/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- </w:t>
      </w:r>
      <w:r w:rsidRPr="0055535C">
        <w:rPr>
          <w:sz w:val="28"/>
          <w:szCs w:val="28"/>
          <w:lang w:val="ru-RU"/>
        </w:rPr>
        <w:t>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дар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тамоми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давраи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фаъолияти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ме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нат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супоридашудаи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шахси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ва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даромад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аз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истифодабарии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ин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</w:t>
      </w:r>
      <w:r w:rsidRPr="0055535C">
        <w:rPr>
          <w:sz w:val="28"/>
          <w:szCs w:val="28"/>
        </w:rPr>
        <w:t xml:space="preserve">, </w:t>
      </w:r>
      <w:r w:rsidRPr="0055535C">
        <w:rPr>
          <w:sz w:val="28"/>
          <w:szCs w:val="28"/>
          <w:lang w:val="ru-RU"/>
        </w:rPr>
        <w:t>ки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дар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махсуси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инфиродии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ў</w:t>
      </w:r>
      <w:r w:rsidRPr="0055535C">
        <w:rPr>
          <w:sz w:val="28"/>
          <w:szCs w:val="28"/>
        </w:rPr>
        <w:t xml:space="preserve">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айд</w:t>
      </w:r>
      <w:r w:rsidRPr="0055535C">
        <w:rPr>
          <w:sz w:val="28"/>
          <w:szCs w:val="28"/>
        </w:rPr>
        <w:t xml:space="preserve"> </w:t>
      </w:r>
      <w:r w:rsidRPr="0055535C">
        <w:rPr>
          <w:sz w:val="28"/>
          <w:szCs w:val="28"/>
          <w:lang w:val="ru-RU"/>
        </w:rPr>
        <w:t>гардидаанд</w:t>
      </w:r>
      <w:r w:rsidRPr="0055535C">
        <w:rPr>
          <w:sz w:val="28"/>
          <w:szCs w:val="28"/>
        </w:rPr>
        <w:t>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3" w:name="A000000004"/>
      <w:bookmarkEnd w:id="3"/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Моддаи 2.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онунгузории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ум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урии То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икистон дар бораи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55535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 xml:space="preserve">онунгузории 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ум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урии То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икистон дар бораи су</w:t>
      </w:r>
      <w:r w:rsidRPr="0055535C">
        <w:rPr>
          <w:sz w:val="28"/>
          <w:szCs w:val="28"/>
          <w:lang w:val="ru-RU"/>
        </w:rPr>
        <w:t>ғ</w:t>
      </w:r>
      <w:r w:rsidR="00BA512C" w:rsidRPr="0055535C">
        <w:rPr>
          <w:sz w:val="28"/>
          <w:szCs w:val="28"/>
          <w:lang w:val="ru-RU"/>
        </w:rPr>
        <w:t xml:space="preserve">уртаи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атмии нафа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ав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 xml:space="preserve"> ба </w:t>
      </w:r>
      <w:hyperlink r:id="rId4" w:tooltip="Ссылка на Конститутсияи Їуміурии Тоїикистон" w:history="1">
        <w:r w:rsidR="00BA512C" w:rsidRPr="0055535C">
          <w:rPr>
            <w:rStyle w:val="a3"/>
            <w:color w:val="auto"/>
            <w:sz w:val="28"/>
            <w:szCs w:val="28"/>
            <w:lang w:val="ru-RU"/>
          </w:rPr>
          <w:t>Конститутсияи (Сар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қ</w:t>
        </w:r>
        <w:r w:rsidR="00BA512C" w:rsidRPr="0055535C">
          <w:rPr>
            <w:rStyle w:val="a3"/>
            <w:color w:val="auto"/>
            <w:sz w:val="28"/>
            <w:szCs w:val="28"/>
            <w:lang w:val="ru-RU"/>
          </w:rPr>
          <w:t xml:space="preserve">онуни) 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Ҷ</w:t>
        </w:r>
        <w:r w:rsidR="00BA512C" w:rsidRPr="0055535C">
          <w:rPr>
            <w:rStyle w:val="a3"/>
            <w:color w:val="auto"/>
            <w:sz w:val="28"/>
            <w:szCs w:val="28"/>
            <w:lang w:val="ru-RU"/>
          </w:rPr>
          <w:t>ум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ҳ</w:t>
        </w:r>
        <w:r w:rsidR="00BA512C" w:rsidRPr="0055535C">
          <w:rPr>
            <w:rStyle w:val="a3"/>
            <w:color w:val="auto"/>
            <w:sz w:val="28"/>
            <w:szCs w:val="28"/>
            <w:lang w:val="ru-RU"/>
          </w:rPr>
          <w:t>урии То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ҷ</w:t>
        </w:r>
        <w:r w:rsidR="00BA512C" w:rsidRPr="0055535C">
          <w:rPr>
            <w:rStyle w:val="a3"/>
            <w:color w:val="auto"/>
            <w:sz w:val="28"/>
            <w:szCs w:val="28"/>
            <w:lang w:val="ru-RU"/>
          </w:rPr>
          <w:t>икистон</w:t>
        </w:r>
      </w:hyperlink>
      <w:r w:rsidR="00BA512C" w:rsidRPr="0055535C">
        <w:rPr>
          <w:sz w:val="28"/>
          <w:szCs w:val="28"/>
          <w:lang w:val="ru-RU"/>
        </w:rPr>
        <w:t xml:space="preserve"> асос ёфта, аз 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онуни мазкур, дигар санад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 xml:space="preserve">ои меъёрии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 xml:space="preserve">ии 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ум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урии То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икистон, инчунин санад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 xml:space="preserve">ои 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у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ии байналмилалие, ки То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икистон он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оро эътироф намудааст, иборат мебошад.</w:t>
      </w:r>
    </w:p>
    <w:p w:rsidR="00BA512C" w:rsidRPr="0055535C" w:rsidRDefault="00BA512C" w:rsidP="00BA512C">
      <w:pPr>
        <w:pStyle w:val="4"/>
        <w:rPr>
          <w:rFonts w:eastAsia="Times New Roman"/>
          <w:color w:val="auto"/>
          <w:sz w:val="28"/>
          <w:szCs w:val="28"/>
          <w:lang w:val="ru-RU"/>
        </w:rPr>
      </w:pPr>
      <w:bookmarkStart w:id="4" w:name="A000000005"/>
      <w:bookmarkEnd w:id="4"/>
      <w:r w:rsidRPr="0055535C">
        <w:rPr>
          <w:rFonts w:eastAsia="Times New Roman"/>
          <w:color w:val="auto"/>
          <w:sz w:val="28"/>
          <w:szCs w:val="28"/>
          <w:lang w:val="ru-RU"/>
        </w:rPr>
        <w:lastRenderedPageBreak/>
        <w:t>БОБИ 2. МУНОСИБАТ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ОИ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ҚӢ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 ОИД БА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5" w:name="A000000006"/>
      <w:bookmarkEnd w:id="5"/>
      <w:r w:rsidRPr="0055535C">
        <w:rPr>
          <w:rFonts w:eastAsia="Times New Roman"/>
          <w:color w:val="auto"/>
          <w:sz w:val="28"/>
          <w:szCs w:val="28"/>
          <w:lang w:val="ru-RU"/>
        </w:rPr>
        <w:t>Моддаи 3. Ма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оми ваколатдори давлатии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1.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авиро дар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оми ваколатдори давлатии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(минбаъд -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урта), ки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 xml:space="preserve">ониби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укумати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муайян карда мешавад, амал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менамояд.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2. Давлат барои ў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дадори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дар назди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 масъулияти иловаг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дорад.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6" w:name="A3RD0U370F"/>
      <w:bookmarkEnd w:id="6"/>
      <w:r w:rsidRPr="0055535C">
        <w:rPr>
          <w:rFonts w:eastAsia="Times New Roman"/>
          <w:color w:val="auto"/>
          <w:sz w:val="28"/>
          <w:szCs w:val="28"/>
          <w:lang w:val="ru-RU"/>
        </w:rPr>
        <w:t>Моддаи 4. Таваккал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ои и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тимо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 аз рўи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1. Таваккали 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тимо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дар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онуни мазкур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ониби шахси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ангоми аз даст додани музди ме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нат (пардохт, подош ба манфиати шахси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урташуда) ё дигар даромад эътироф карда мешавад.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2. Намуд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таваккал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тимо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рўи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ин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 мебошанд: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фаро расидани пиронсол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маъюб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рум шудан аз саробон;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фавти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агир.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7" w:name="A3RD0U3MHR"/>
      <w:bookmarkEnd w:id="7"/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Моддаи 5.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олати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 аз рўи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55535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олати су</w:t>
      </w:r>
      <w:r w:rsidRPr="0055535C">
        <w:rPr>
          <w:sz w:val="28"/>
          <w:szCs w:val="28"/>
          <w:lang w:val="ru-RU"/>
        </w:rPr>
        <w:t>ғ</w:t>
      </w:r>
      <w:r w:rsidR="00BA512C" w:rsidRPr="0055535C">
        <w:rPr>
          <w:sz w:val="28"/>
          <w:szCs w:val="28"/>
          <w:lang w:val="ru-RU"/>
        </w:rPr>
        <w:t>уртав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 xml:space="preserve"> татби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и яке аз намуд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ои таваккали и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тимо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 xml:space="preserve"> мебошад, ки дар 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 xml:space="preserve">исми 2 моддаи 4 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онуни мазкур пешбин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 xml:space="preserve"> шудаанд.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8" w:name="A000000007"/>
      <w:bookmarkEnd w:id="8"/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Моддаи 6.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уброни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 аз рўи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 xml:space="preserve">1. Дар мавриди фаро расидани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олати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ў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дадор аст ба шахси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уброни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уртавии зеринро пардохт намояд: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рўи синну сол;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рўи маъюб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рўи ма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рум шудан аз саробон;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кўмакпул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барои дафни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агири фавтидае, ки дар рўзи фавт кор намекард.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 xml:space="preserve">2. Таъин, пардохт ва муайян намудани давраи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уброни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рўи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бо тартиби му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аррарнамудаи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амал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карда мешаванд.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9" w:name="A000000008"/>
      <w:bookmarkEnd w:id="9"/>
      <w:r w:rsidRPr="0055535C">
        <w:rPr>
          <w:rFonts w:eastAsia="Times New Roman"/>
          <w:color w:val="auto"/>
          <w:sz w:val="28"/>
          <w:szCs w:val="28"/>
          <w:lang w:val="ru-RU"/>
        </w:rPr>
        <w:lastRenderedPageBreak/>
        <w:t>Моддаи 7. Са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м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авии барои шахси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 ба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воридгардида дар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инфиродии ў мутоби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"</w:t>
      </w:r>
      <w:hyperlink r:id="rId5" w:tooltip="Ссылка на Ѕонуни ЇТ Дар бораи баіисобгирии инфиродњ дар низоми суљуртаи іатмии нафаѕавњ" w:history="1">
        <w:r w:rsidRPr="0055535C">
          <w:rPr>
            <w:rStyle w:val="a3"/>
            <w:color w:val="auto"/>
            <w:sz w:val="28"/>
            <w:szCs w:val="28"/>
            <w:lang w:val="ru-RU"/>
          </w:rPr>
          <w:t>Дар бораи ба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ҳ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исобгирии инфирод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ӣ</w:t>
        </w:r>
        <w:r w:rsidRPr="0055535C">
          <w:rPr>
            <w:rStyle w:val="a3"/>
            <w:color w:val="auto"/>
            <w:sz w:val="28"/>
            <w:szCs w:val="28"/>
            <w:lang w:val="ru-RU"/>
          </w:rPr>
          <w:t xml:space="preserve"> дар низоми су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ғ</w:t>
        </w:r>
        <w:r w:rsidRPr="0055535C">
          <w:rPr>
            <w:rStyle w:val="a3"/>
            <w:color w:val="auto"/>
            <w:sz w:val="28"/>
            <w:szCs w:val="28"/>
            <w:lang w:val="ru-RU"/>
          </w:rPr>
          <w:t xml:space="preserve">уртаи 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ҳ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атмии нафа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қ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ав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ӣ</w:t>
        </w:r>
      </w:hyperlink>
      <w:r w:rsidRPr="0055535C">
        <w:rPr>
          <w:sz w:val="28"/>
          <w:szCs w:val="28"/>
          <w:lang w:val="ru-RU"/>
        </w:rPr>
        <w:t xml:space="preserve">" ба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 гирифта мешаванд.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0" w:name="A000000009"/>
      <w:bookmarkEnd w:id="10"/>
      <w:r w:rsidRPr="0055535C">
        <w:rPr>
          <w:rFonts w:eastAsia="Times New Roman"/>
          <w:color w:val="auto"/>
          <w:sz w:val="28"/>
          <w:szCs w:val="28"/>
          <w:lang w:val="ru-RU"/>
        </w:rPr>
        <w:t>Моддаи 8. Андўхти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1.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авии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аз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авии супоридашудаи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уртакунандагон ва ё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ташаккул меёбад ва дар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махсуси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тиб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"</w:t>
      </w:r>
      <w:hyperlink r:id="rId6" w:tooltip="Ссылка на Ѕонуни ЇТ Дар бораи баіисобгирии инфиродњ дар низоми суљуртаи іатмии нафаѕавњ" w:history="1">
        <w:r w:rsidRPr="0055535C">
          <w:rPr>
            <w:rStyle w:val="a3"/>
            <w:color w:val="auto"/>
            <w:sz w:val="28"/>
            <w:szCs w:val="28"/>
            <w:lang w:val="ru-RU"/>
          </w:rPr>
          <w:t>Дар бораи ба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ҳ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исобгирии инфирод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ӣ</w:t>
        </w:r>
        <w:r w:rsidRPr="0055535C">
          <w:rPr>
            <w:rStyle w:val="a3"/>
            <w:color w:val="auto"/>
            <w:sz w:val="28"/>
            <w:szCs w:val="28"/>
            <w:lang w:val="ru-RU"/>
          </w:rPr>
          <w:t xml:space="preserve"> дар низоми су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ғ</w:t>
        </w:r>
        <w:r w:rsidRPr="0055535C">
          <w:rPr>
            <w:rStyle w:val="a3"/>
            <w:color w:val="auto"/>
            <w:sz w:val="28"/>
            <w:szCs w:val="28"/>
            <w:lang w:val="ru-RU"/>
          </w:rPr>
          <w:t xml:space="preserve">уртаи 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ҳ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атмии нафа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қ</w:t>
        </w:r>
        <w:r w:rsidRPr="0055535C">
          <w:rPr>
            <w:rStyle w:val="a3"/>
            <w:color w:val="auto"/>
            <w:sz w:val="28"/>
            <w:szCs w:val="28"/>
            <w:lang w:val="ru-RU"/>
          </w:rPr>
          <w:t>ав</w:t>
        </w:r>
        <w:r w:rsidR="0055535C" w:rsidRPr="0055535C">
          <w:rPr>
            <w:rStyle w:val="a3"/>
            <w:color w:val="auto"/>
            <w:sz w:val="28"/>
            <w:szCs w:val="28"/>
            <w:lang w:val="ru-RU"/>
          </w:rPr>
          <w:t>ӣ</w:t>
        </w:r>
      </w:hyperlink>
      <w:r w:rsidRPr="0055535C">
        <w:rPr>
          <w:sz w:val="28"/>
          <w:szCs w:val="28"/>
          <w:lang w:val="ru-RU"/>
        </w:rPr>
        <w:t xml:space="preserve">" ба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 гирифта мешавад.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2. Тартиби пардохти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авии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бо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оида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пардохти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инфиродии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урташуда, ки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укумати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тасди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 мекунад, муайян мегардад.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1" w:name="A000000010"/>
      <w:bookmarkEnd w:id="11"/>
      <w:r w:rsidRPr="0055535C">
        <w:rPr>
          <w:rFonts w:eastAsia="Times New Roman"/>
          <w:color w:val="auto"/>
          <w:sz w:val="28"/>
          <w:szCs w:val="28"/>
          <w:lang w:val="ru-RU"/>
        </w:rPr>
        <w:t>Моддаи 9. Ваколат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ои ма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омоти давлат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 оид ба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Ба ваколат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омоти давлат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оид ба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дохил мешаванд: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тасди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 ва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исобот дар бораи 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рои он;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аррар намудани тартиби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абул ва 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рои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муайян намудани тартибу шарт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ташаккулёб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,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оба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огузор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сармоягузории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муайян намудани тартиби ниго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дории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идоракунии низоми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таъмини устувории молияв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тавозуни низоми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,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умла бо ро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 таъмини воридоти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пардохт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дар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ме, ки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пешбин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намудааст;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муайян намудани тартиби истифодаи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озоди мува</w:t>
      </w:r>
      <w:r w:rsidR="0055535C" w:rsidRPr="0055535C">
        <w:rPr>
          <w:sz w:val="28"/>
          <w:szCs w:val="28"/>
          <w:lang w:val="ru-RU"/>
        </w:rPr>
        <w:t>ққ</w:t>
      </w:r>
      <w:r w:rsidRPr="0055535C">
        <w:rPr>
          <w:sz w:val="28"/>
          <w:szCs w:val="28"/>
          <w:lang w:val="ru-RU"/>
        </w:rPr>
        <w:t>атии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амал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намудани назорати давлат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назорати татби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ба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уброни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2" w:name="A000000011"/>
      <w:bookmarkEnd w:id="12"/>
      <w:r w:rsidRPr="0055535C">
        <w:rPr>
          <w:rFonts w:eastAsia="Times New Roman"/>
          <w:color w:val="auto"/>
          <w:sz w:val="28"/>
          <w:szCs w:val="28"/>
          <w:lang w:val="ru-RU"/>
        </w:rPr>
        <w:t>Моддаи 10. ў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дадори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ои муассисаи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ў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дадор аст: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lastRenderedPageBreak/>
        <w:t>- асосноккунии андозаи тарофаи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авиро тайёр намояд;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дар асоси маълумоти ба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исобгирии инфирод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уртавиро сари ва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т таъин, боз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пардохт намояд, кўмакпулиро барои дафни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агири фавтида, ки дар рўзи фавташ кор намекард, пардохт кунад;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назорати асосноккунии пешни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оди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ҷҷ</w:t>
      </w:r>
      <w:r w:rsidRPr="0055535C">
        <w:rPr>
          <w:sz w:val="28"/>
          <w:szCs w:val="28"/>
          <w:lang w:val="ru-RU"/>
        </w:rPr>
        <w:t>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оро барои таъин, боз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,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умла бо шарт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имтиёзнок бинобар шароити махсуси ме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нат амал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намояд;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лои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уртаро та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ия намуда, 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рои онро таъмин намояд;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ба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уртакунандагон,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урташуда, ташкилот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давлат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амъият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вазъи молиявии худ мунтазам бо тартиби му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арраргардида иттилоъ ди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ад ва барои таъмини устувории молиявиаш тадбир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 андешад;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истифодаи 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садноки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авиро таъмин ва назорат намояд;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аз рўи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воридгардидаро ба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 гирад;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махзани маълумоти давлатии тамоми гурў</w:t>
      </w:r>
      <w:r w:rsidR="0055535C" w:rsidRPr="0055535C">
        <w:rPr>
          <w:sz w:val="28"/>
          <w:szCs w:val="28"/>
          <w:lang w:val="ru-RU"/>
        </w:rPr>
        <w:t>ҳҳ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уртакунандагон,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умла, шахсони во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еиро, ки ихтиёран ба муносибат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қӣ</w:t>
      </w:r>
      <w:r w:rsidRPr="0055535C">
        <w:rPr>
          <w:sz w:val="28"/>
          <w:szCs w:val="28"/>
          <w:lang w:val="ru-RU"/>
        </w:rPr>
        <w:t xml:space="preserve"> оид ба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шомил гардидаанд, ба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исобгирии инфиродии маълумотро дар бораи тамоми гурў</w:t>
      </w:r>
      <w:r w:rsidR="0055535C" w:rsidRPr="0055535C">
        <w:rPr>
          <w:sz w:val="28"/>
          <w:szCs w:val="28"/>
          <w:lang w:val="ru-RU"/>
        </w:rPr>
        <w:t>ҳҳ</w:t>
      </w:r>
      <w:r w:rsidRPr="0055535C">
        <w:rPr>
          <w:sz w:val="28"/>
          <w:szCs w:val="28"/>
          <w:lang w:val="ru-RU"/>
        </w:rPr>
        <w:t>ои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 тиб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"Дар бораи ба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исобгирии инфирод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дар низоми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" таъсис ди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анд;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ре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 xml:space="preserve">аи пешбурди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махсуси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инфиродии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урташударо мутоби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 талаботи му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аррарнамудаи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амал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намояд;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дар фасл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дахлдори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махсуси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инфиродии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ба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ворид шудани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, андозаи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уртавии таъиншуда ва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 xml:space="preserve">ои пардохтро аз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сари ва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т ба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 гирад;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ташкили ба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исобгирии сарива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тии даромад аз сармоягузории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авиро дар фасл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дахлдори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махсуси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инфиродии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 таъмин намояд;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ба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уртакунандагон вобаста ба масъала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ройгон масли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 ди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ад ва дар бораи санад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меъёрии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қӣ</w:t>
      </w:r>
      <w:r w:rsidRPr="0055535C">
        <w:rPr>
          <w:sz w:val="28"/>
          <w:szCs w:val="28"/>
          <w:lang w:val="ru-RU"/>
        </w:rPr>
        <w:t xml:space="preserve"> оид ба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маълумот ди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 xml:space="preserve">- тавассути сохтори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удудии худ барои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 доир ба масъала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машварат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ройгон ташкил намояд.</w:t>
      </w:r>
    </w:p>
    <w:p w:rsidR="00BA512C" w:rsidRPr="0055535C" w:rsidRDefault="00BA512C" w:rsidP="00BA512C">
      <w:pPr>
        <w:pStyle w:val="4"/>
        <w:rPr>
          <w:rFonts w:eastAsia="Times New Roman"/>
          <w:color w:val="auto"/>
          <w:sz w:val="28"/>
          <w:szCs w:val="28"/>
          <w:lang w:val="ru-RU"/>
        </w:rPr>
      </w:pPr>
      <w:bookmarkStart w:id="13" w:name="A000000012"/>
      <w:bookmarkEnd w:id="13"/>
      <w:r w:rsidRPr="0055535C">
        <w:rPr>
          <w:rFonts w:eastAsia="Times New Roman"/>
          <w:color w:val="auto"/>
          <w:sz w:val="28"/>
          <w:szCs w:val="28"/>
          <w:lang w:val="ru-RU"/>
        </w:rPr>
        <w:lastRenderedPageBreak/>
        <w:t>БОБИ 3. НИЗОМИ МОЛИЯВИИ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4" w:name="A000000013"/>
      <w:bookmarkEnd w:id="14"/>
      <w:r w:rsidRPr="0055535C">
        <w:rPr>
          <w:rFonts w:eastAsia="Times New Roman"/>
          <w:color w:val="auto"/>
          <w:sz w:val="28"/>
          <w:szCs w:val="28"/>
          <w:lang w:val="ru-RU"/>
        </w:rPr>
        <w:t>Моддаи 11. Бу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ети муассисаи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1.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моликияти давлат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ма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суб ёфта, ба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 бо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 идораи оператив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вобаста карда шудаанд, вале ба таркиби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дигар дохил намешаванд ва мавриди мусодира, андозбанд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ситонидани дигар пардохт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арор намегиранд.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2.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барои соли молияв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бо назардошти тавозуни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даромаду харо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оти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мазкур та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ия карда мешавад.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 ва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исоботи и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 xml:space="preserve">рои он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ар сол бо тартиби му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аррарнамудаи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тасди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 карда мешавад.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3. Дар таркиби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, ки ба сармоягузор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равона гардидаанд, пардохт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 аз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, инчунин харо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оти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урта, ки бо ташаккулёб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сармоягузории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, пешбурди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махсуси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инфиродии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урташуда ва пардохти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андўхтии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ало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аманд мебошанд, ба таври ало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ида ба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 гирифта мешаванд.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4.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дар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 дар Бонки давлатии амонатгузории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"Амонатбонк" ниго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 дошта мешаванд.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5" w:name="A000000014"/>
      <w:bookmarkEnd w:id="15"/>
      <w:r w:rsidRPr="0055535C">
        <w:rPr>
          <w:rFonts w:eastAsia="Times New Roman"/>
          <w:color w:val="auto"/>
          <w:sz w:val="28"/>
          <w:szCs w:val="28"/>
          <w:lang w:val="ru-RU"/>
        </w:rPr>
        <w:t>Моддаи 12. Ташаккулёбии бу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ети муассисаи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 аз ин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 ташаккул меёбад: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давлат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товон ва дигар му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озоти молияв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 xml:space="preserve">- даромад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оба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огузор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сармоягузории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озоди мува</w:t>
      </w:r>
      <w:r w:rsidR="0055535C" w:rsidRPr="0055535C">
        <w:rPr>
          <w:sz w:val="28"/>
          <w:szCs w:val="28"/>
          <w:lang w:val="ru-RU"/>
        </w:rPr>
        <w:t>ққ</w:t>
      </w:r>
      <w:r w:rsidRPr="0055535C">
        <w:rPr>
          <w:sz w:val="28"/>
          <w:szCs w:val="28"/>
          <w:lang w:val="ru-RU"/>
        </w:rPr>
        <w:t>атии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>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ихтиёр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хайрияи шахсони во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е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қӣ</w:t>
      </w:r>
      <w:r w:rsidRPr="0055535C">
        <w:rPr>
          <w:sz w:val="28"/>
          <w:szCs w:val="28"/>
          <w:lang w:val="ru-RU"/>
        </w:rPr>
        <w:t>, ки ба сифати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уртакунандагон ё шахсони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 он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оро пардохт накардаанд;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манбаъ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дигаре, ки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манъ накардааст.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6" w:name="A000000015"/>
      <w:bookmarkEnd w:id="16"/>
      <w:r w:rsidRPr="0055535C">
        <w:rPr>
          <w:rFonts w:eastAsia="Times New Roman"/>
          <w:color w:val="auto"/>
          <w:sz w:val="28"/>
          <w:szCs w:val="28"/>
          <w:lang w:val="ru-RU"/>
        </w:rPr>
        <w:t>Моддаи 13. Хар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и мабла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ои бу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ети муассисаи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1.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таъиноти 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саднок дошта, ба 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сад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зерин равона мегарданд: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lastRenderedPageBreak/>
        <w:t>- мутоби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ва санад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ои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ии байналмилалии эътирофнамудаи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ба пардохт ва индексатсияи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кўмакпул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барои дафни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агире, ки дар рўзи фавташ кор намекард, барои ба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исоби инфиродии шахси берун аз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удуди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урташуда гузаронидани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арзишаш баробари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андўхти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авии дар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исми махсуси сурат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инфиродии шахси мазкур ба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исобгирифташуда;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дастрасгардонии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ае, ки аз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пардохт карда мешавад;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- таъминоти молияв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моддию техникии фаъолияти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ории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урта,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 xml:space="preserve">умла таъминоти сохтори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удудии он.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2. Харо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оте, ки дар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барои соли дахлдор пешбин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карда нашудааст, тан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 баъди ворид намудани та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йирот ба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мазкур бо тартиби му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аррарнамудаи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амал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карда мешавад.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3. Таъминоти молияв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моддию техникии фаъолияти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ории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 бо назардошти таъминоти сохтори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удудии он набояд аз ду фоизи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зиёд бошад.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7" w:name="A000000016"/>
      <w:bookmarkEnd w:id="17"/>
      <w:r w:rsidRPr="0055535C">
        <w:rPr>
          <w:rFonts w:eastAsia="Times New Roman"/>
          <w:color w:val="auto"/>
          <w:sz w:val="28"/>
          <w:szCs w:val="28"/>
          <w:lang w:val="ru-RU"/>
        </w:rPr>
        <w:t>Моддаи 14. Фонди захиравии муассисаи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1. Барои таъминоти дурнамои миёнамў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лат ва дарозмў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лати устувории молиявии низоми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 xml:space="preserve">уртаи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атмии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дар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олати ба ву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уд омадани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зиёдатии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фонди захирав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таъсис дода мешавад.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2. Тартиби ташаккулёб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харо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оти фонди захиравии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тиб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муайян карда мешавад.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8" w:name="A000000017"/>
      <w:bookmarkEnd w:id="18"/>
      <w:r w:rsidRPr="0055535C">
        <w:rPr>
          <w:rFonts w:eastAsia="Times New Roman"/>
          <w:color w:val="auto"/>
          <w:sz w:val="28"/>
          <w:szCs w:val="28"/>
          <w:lang w:val="ru-RU"/>
        </w:rPr>
        <w:t>Моддаи 15. Назорати истифодаи мабла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ои бу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ети муассисаи су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ғ</w:t>
      </w:r>
      <w:r w:rsidRPr="0055535C">
        <w:rPr>
          <w:rFonts w:eastAsia="Times New Roman"/>
          <w:color w:val="auto"/>
          <w:sz w:val="28"/>
          <w:szCs w:val="28"/>
          <w:lang w:val="ru-RU"/>
        </w:rPr>
        <w:t>урта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Назорати истифодаи мабла</w:t>
      </w:r>
      <w:r w:rsidR="0055535C" w:rsidRPr="0055535C">
        <w:rPr>
          <w:sz w:val="28"/>
          <w:szCs w:val="28"/>
          <w:lang w:val="ru-RU"/>
        </w:rPr>
        <w:t>ғҳ</w:t>
      </w:r>
      <w:r w:rsidRPr="0055535C">
        <w:rPr>
          <w:sz w:val="28"/>
          <w:szCs w:val="28"/>
          <w:lang w:val="ru-RU"/>
        </w:rPr>
        <w:t>ои бу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ети муассисаи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 тиб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 xml:space="preserve">икистон аз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ониби ма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омоти ваколатдори давлатии дахлдор амал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карда мешавад.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9" w:name="A000000018"/>
      <w:bookmarkEnd w:id="19"/>
      <w:r w:rsidRPr="0055535C">
        <w:rPr>
          <w:rFonts w:eastAsia="Times New Roman"/>
          <w:color w:val="auto"/>
          <w:sz w:val="28"/>
          <w:szCs w:val="28"/>
          <w:lang w:val="ru-RU"/>
        </w:rPr>
        <w:t>Моддаи 16. Тарофаи са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м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ҳ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ои нафа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1. Тарофаи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аз андозаи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су</w:t>
      </w:r>
      <w:r w:rsidR="0055535C" w:rsidRPr="0055535C">
        <w:rPr>
          <w:sz w:val="28"/>
          <w:szCs w:val="28"/>
          <w:lang w:val="ru-RU"/>
        </w:rPr>
        <w:t>ғ</w:t>
      </w:r>
      <w:r w:rsidRPr="0055535C">
        <w:rPr>
          <w:sz w:val="28"/>
          <w:szCs w:val="28"/>
          <w:lang w:val="ru-RU"/>
        </w:rPr>
        <w:t>уртав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иборат буда, барои ба во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иди ченаки заминав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исоб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намудани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пешбин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шудааст.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2. Тарофаи са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ои нафа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ав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бо тартиби му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аррарнамудаи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 xml:space="preserve">укумати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икистон муайян карда мешавад.</w:t>
      </w:r>
    </w:p>
    <w:p w:rsidR="00BA512C" w:rsidRPr="0055535C" w:rsidRDefault="00BA512C" w:rsidP="00BA512C">
      <w:pPr>
        <w:pStyle w:val="4"/>
        <w:rPr>
          <w:rFonts w:eastAsia="Times New Roman"/>
          <w:color w:val="auto"/>
          <w:sz w:val="28"/>
          <w:szCs w:val="28"/>
          <w:lang w:val="ru-RU"/>
        </w:rPr>
      </w:pPr>
      <w:bookmarkStart w:id="20" w:name="A000000019"/>
      <w:bookmarkEnd w:id="20"/>
      <w:r w:rsidRPr="0055535C">
        <w:rPr>
          <w:rFonts w:eastAsia="Times New Roman"/>
          <w:color w:val="auto"/>
          <w:sz w:val="28"/>
          <w:szCs w:val="28"/>
          <w:lang w:val="ru-RU"/>
        </w:rPr>
        <w:lastRenderedPageBreak/>
        <w:t>БОБИ 4. МУ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АРРАРОТИ ХОТИМАВ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1" w:name="A000000020"/>
      <w:bookmarkEnd w:id="21"/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Моддаи 17.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Ҷ</w:t>
      </w:r>
      <w:r w:rsidRPr="0055535C">
        <w:rPr>
          <w:rFonts w:eastAsia="Times New Roman"/>
          <w:color w:val="auto"/>
          <w:sz w:val="28"/>
          <w:szCs w:val="28"/>
          <w:lang w:val="ru-RU"/>
        </w:rPr>
        <w:t>авобгар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ӣ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 барои риоя накардани талаботи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онуни мазкур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Шахсони во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е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ва 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у</w:t>
      </w:r>
      <w:r w:rsidR="0055535C" w:rsidRPr="0055535C">
        <w:rPr>
          <w:sz w:val="28"/>
          <w:szCs w:val="28"/>
          <w:lang w:val="ru-RU"/>
        </w:rPr>
        <w:t>қӣ</w:t>
      </w:r>
      <w:r w:rsidRPr="0055535C">
        <w:rPr>
          <w:sz w:val="28"/>
          <w:szCs w:val="28"/>
          <w:lang w:val="ru-RU"/>
        </w:rPr>
        <w:t xml:space="preserve"> барои риоя накардани талаботи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>онуни мазкур мутоби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и </w:t>
      </w:r>
      <w:r w:rsidR="0055535C" w:rsidRPr="0055535C">
        <w:rPr>
          <w:sz w:val="28"/>
          <w:szCs w:val="28"/>
          <w:lang w:val="ru-RU"/>
        </w:rPr>
        <w:t>қ</w:t>
      </w:r>
      <w:r w:rsidRPr="0055535C">
        <w:rPr>
          <w:sz w:val="28"/>
          <w:szCs w:val="28"/>
          <w:lang w:val="ru-RU"/>
        </w:rPr>
        <w:t xml:space="preserve">онунгузории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ум</w:t>
      </w:r>
      <w:r w:rsidR="0055535C" w:rsidRPr="0055535C">
        <w:rPr>
          <w:sz w:val="28"/>
          <w:szCs w:val="28"/>
          <w:lang w:val="ru-RU"/>
        </w:rPr>
        <w:t>ҳ</w:t>
      </w:r>
      <w:r w:rsidRPr="0055535C">
        <w:rPr>
          <w:sz w:val="28"/>
          <w:szCs w:val="28"/>
          <w:lang w:val="ru-RU"/>
        </w:rPr>
        <w:t>урии То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 xml:space="preserve">икистон ба </w:t>
      </w:r>
      <w:r w:rsidR="0055535C" w:rsidRPr="0055535C">
        <w:rPr>
          <w:sz w:val="28"/>
          <w:szCs w:val="28"/>
          <w:lang w:val="ru-RU"/>
        </w:rPr>
        <w:t>ҷ</w:t>
      </w:r>
      <w:r w:rsidRPr="0055535C">
        <w:rPr>
          <w:sz w:val="28"/>
          <w:szCs w:val="28"/>
          <w:lang w:val="ru-RU"/>
        </w:rPr>
        <w:t>авобгар</w:t>
      </w:r>
      <w:r w:rsidR="0055535C" w:rsidRPr="0055535C">
        <w:rPr>
          <w:sz w:val="28"/>
          <w:szCs w:val="28"/>
          <w:lang w:val="ru-RU"/>
        </w:rPr>
        <w:t>ӣ</w:t>
      </w:r>
      <w:r w:rsidRPr="0055535C">
        <w:rPr>
          <w:sz w:val="28"/>
          <w:szCs w:val="28"/>
          <w:lang w:val="ru-RU"/>
        </w:rPr>
        <w:t xml:space="preserve"> кашида мешаванд.</w:t>
      </w:r>
    </w:p>
    <w:p w:rsidR="00BA512C" w:rsidRPr="0055535C" w:rsidRDefault="00BA512C" w:rsidP="00BA512C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2" w:name="A000000021"/>
      <w:bookmarkEnd w:id="22"/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Моддаи 18. Тартиби мавриди амал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 xml:space="preserve">арор додани </w:t>
      </w:r>
      <w:r w:rsidR="0055535C" w:rsidRPr="0055535C">
        <w:rPr>
          <w:rFonts w:eastAsia="Times New Roman"/>
          <w:color w:val="auto"/>
          <w:sz w:val="28"/>
          <w:szCs w:val="28"/>
          <w:lang w:val="ru-RU"/>
        </w:rPr>
        <w:t>Қ</w:t>
      </w:r>
      <w:r w:rsidRPr="0055535C">
        <w:rPr>
          <w:rFonts w:eastAsia="Times New Roman"/>
          <w:color w:val="auto"/>
          <w:sz w:val="28"/>
          <w:szCs w:val="28"/>
          <w:lang w:val="ru-RU"/>
        </w:rPr>
        <w:t>онуни мазкур</w:t>
      </w:r>
    </w:p>
    <w:p w:rsidR="00BA512C" w:rsidRPr="0055535C" w:rsidRDefault="0055535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онуни мазкур пас аз интишори расм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 xml:space="preserve"> мавриди амал </w:t>
      </w:r>
      <w:r w:rsidRPr="0055535C">
        <w:rPr>
          <w:sz w:val="28"/>
          <w:szCs w:val="28"/>
          <w:lang w:val="ru-RU"/>
        </w:rPr>
        <w:t>қ</w:t>
      </w:r>
      <w:r w:rsidR="00BA512C" w:rsidRPr="0055535C">
        <w:rPr>
          <w:sz w:val="28"/>
          <w:szCs w:val="28"/>
          <w:lang w:val="ru-RU"/>
        </w:rPr>
        <w:t>арор дода шавад.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Президенти</w:t>
      </w:r>
    </w:p>
    <w:p w:rsidR="00BA512C" w:rsidRPr="0055535C" w:rsidRDefault="0055535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ум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урии То</w:t>
      </w:r>
      <w:r w:rsidRPr="0055535C">
        <w:rPr>
          <w:sz w:val="28"/>
          <w:szCs w:val="28"/>
          <w:lang w:val="ru-RU"/>
        </w:rPr>
        <w:t>ҷ</w:t>
      </w:r>
      <w:r w:rsidR="00BA512C" w:rsidRPr="0055535C">
        <w:rPr>
          <w:sz w:val="28"/>
          <w:szCs w:val="28"/>
          <w:lang w:val="ru-RU"/>
        </w:rPr>
        <w:t>икистон</w:t>
      </w:r>
      <w:r w:rsidR="00BA512C" w:rsidRPr="0055535C">
        <w:rPr>
          <w:sz w:val="28"/>
          <w:szCs w:val="28"/>
        </w:rPr>
        <w:t>                      </w:t>
      </w:r>
      <w:r w:rsidR="00BA512C" w:rsidRPr="0055535C">
        <w:rPr>
          <w:sz w:val="28"/>
          <w:szCs w:val="28"/>
          <w:lang w:val="ru-RU"/>
        </w:rPr>
        <w:t xml:space="preserve"> Эмомал</w:t>
      </w:r>
      <w:r w:rsidRPr="0055535C">
        <w:rPr>
          <w:sz w:val="28"/>
          <w:szCs w:val="28"/>
          <w:lang w:val="ru-RU"/>
        </w:rPr>
        <w:t>ӣ</w:t>
      </w:r>
      <w:r w:rsidR="00BA512C" w:rsidRPr="0055535C">
        <w:rPr>
          <w:sz w:val="28"/>
          <w:szCs w:val="28"/>
          <w:lang w:val="ru-RU"/>
        </w:rPr>
        <w:t xml:space="preserve"> Ра</w:t>
      </w:r>
      <w:r w:rsidRPr="0055535C">
        <w:rPr>
          <w:sz w:val="28"/>
          <w:szCs w:val="28"/>
          <w:lang w:val="ru-RU"/>
        </w:rPr>
        <w:t>ҳ</w:t>
      </w:r>
      <w:r w:rsidR="00BA512C" w:rsidRPr="0055535C">
        <w:rPr>
          <w:sz w:val="28"/>
          <w:szCs w:val="28"/>
          <w:lang w:val="ru-RU"/>
        </w:rPr>
        <w:t>мон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ш. Душанбе,</w:t>
      </w:r>
    </w:p>
    <w:p w:rsidR="00BA512C" w:rsidRPr="0055535C" w:rsidRDefault="00BA512C" w:rsidP="00BA512C">
      <w:pPr>
        <w:pStyle w:val="a4"/>
        <w:rPr>
          <w:sz w:val="28"/>
          <w:szCs w:val="28"/>
          <w:lang w:val="ru-RU"/>
        </w:rPr>
      </w:pPr>
      <w:r w:rsidRPr="0055535C">
        <w:rPr>
          <w:sz w:val="28"/>
          <w:szCs w:val="28"/>
          <w:lang w:val="ru-RU"/>
        </w:rPr>
        <w:t>19 марти соли 2013, № 955</w:t>
      </w:r>
    </w:p>
    <w:p w:rsidR="00BA512C" w:rsidRPr="0055535C" w:rsidRDefault="00C3736A" w:rsidP="00BA512C">
      <w:pPr>
        <w:pStyle w:val="a4"/>
        <w:rPr>
          <w:sz w:val="28"/>
          <w:szCs w:val="28"/>
        </w:rPr>
      </w:pPr>
      <w:bookmarkStart w:id="23" w:name="A3RD0U96JI"/>
      <w:bookmarkEnd w:id="23"/>
      <w:r w:rsidRPr="0055535C">
        <w:rPr>
          <w:sz w:val="28"/>
          <w:szCs w:val="28"/>
        </w:rPr>
        <w:t xml:space="preserve"> </w:t>
      </w:r>
    </w:p>
    <w:p w:rsidR="00777A65" w:rsidRPr="0055535C" w:rsidRDefault="00777A65">
      <w:pPr>
        <w:rPr>
          <w:rFonts w:ascii="Times New Roman" w:hAnsi="Times New Roman" w:cs="Times New Roman"/>
        </w:rPr>
      </w:pPr>
    </w:p>
    <w:sectPr w:rsidR="00777A65" w:rsidRPr="0055535C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12C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535C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A6E62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5768F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12C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3736A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98CAA-D4E6-4D4C-87E0-1B123AD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65"/>
  </w:style>
  <w:style w:type="paragraph" w:styleId="2">
    <w:name w:val="heading 2"/>
    <w:basedOn w:val="a"/>
    <w:link w:val="20"/>
    <w:uiPriority w:val="9"/>
    <w:semiHidden/>
    <w:unhideWhenUsed/>
    <w:qFormat/>
    <w:rsid w:val="00BA512C"/>
    <w:pPr>
      <w:spacing w:before="225"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3399"/>
      <w:sz w:val="31"/>
      <w:szCs w:val="31"/>
    </w:rPr>
  </w:style>
  <w:style w:type="paragraph" w:styleId="4">
    <w:name w:val="heading 4"/>
    <w:basedOn w:val="a"/>
    <w:link w:val="40"/>
    <w:uiPriority w:val="9"/>
    <w:semiHidden/>
    <w:unhideWhenUsed/>
    <w:qFormat/>
    <w:rsid w:val="00BA512C"/>
    <w:pPr>
      <w:spacing w:before="225"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BA512C"/>
    <w:pPr>
      <w:spacing w:before="300" w:after="0" w:line="240" w:lineRule="auto"/>
      <w:outlineLvl w:val="5"/>
    </w:pPr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12C"/>
    <w:rPr>
      <w:rFonts w:ascii="Times New Roman" w:eastAsiaTheme="minorEastAsia" w:hAnsi="Times New Roman" w:cs="Times New Roman"/>
      <w:b/>
      <w:bCs/>
      <w:color w:val="003399"/>
      <w:sz w:val="31"/>
      <w:szCs w:val="31"/>
    </w:rPr>
  </w:style>
  <w:style w:type="character" w:customStyle="1" w:styleId="40">
    <w:name w:val="Заголовок 4 Знак"/>
    <w:basedOn w:val="a0"/>
    <w:link w:val="4"/>
    <w:uiPriority w:val="9"/>
    <w:semiHidden/>
    <w:rsid w:val="00BA512C"/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512C"/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A51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12C"/>
    <w:pPr>
      <w:spacing w:before="105" w:after="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name">
    <w:name w:val="dname"/>
    <w:basedOn w:val="a"/>
    <w:uiPriority w:val="99"/>
    <w:semiHidden/>
    <w:rsid w:val="00BA512C"/>
    <w:pPr>
      <w:spacing w:before="225" w:after="0" w:line="240" w:lineRule="auto"/>
      <w:jc w:val="center"/>
    </w:pPr>
    <w:rPr>
      <w:rFonts w:ascii="Times New Roman" w:eastAsiaTheme="minorEastAsia" w:hAnsi="Times New Roman" w:cs="Times New Roman"/>
      <w:b/>
      <w:bCs/>
      <w:color w:val="00339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17205" TargetMode="External"/><Relationship Id="rId5" Type="http://schemas.openxmlformats.org/officeDocument/2006/relationships/hyperlink" Target="vfp://rgn=117205" TargetMode="External"/><Relationship Id="rId4" Type="http://schemas.openxmlformats.org/officeDocument/2006/relationships/hyperlink" Target="vfp://rgn=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4</cp:revision>
  <dcterms:created xsi:type="dcterms:W3CDTF">2017-04-08T06:48:00Z</dcterms:created>
  <dcterms:modified xsi:type="dcterms:W3CDTF">2017-04-16T08:32:00Z</dcterms:modified>
</cp:coreProperties>
</file>